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371-1_4seq1.xml.htm"/>
      <w:bookmarkStart w:id="1" w:name="kstm262437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Kam Anthony Ping Leung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FIRST FLOOR, 25 ST STEPHEN'S GREEN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2</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D02 XF99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PDD Holdings Inc.</w:t>
              </w:r>
            </w:hyperlink>
            <w:r>
              <w:rPr/>
              <w:t xml:space="preserve"> [ </w:t>
            </w:r>
            <w:r>
              <w:rPr>
                <w:rFonts w:ascii="Times;serif" w:hAnsi="Times;serif"/>
                <w:color w:val="0000FF"/>
                <w:sz w:val="24"/>
                <w:shd w:fill="FFFFFF" w:val="clear"/>
              </w:rPr>
              <w:t>PDD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9"/>
        <w:gridCol w:w="903"/>
        <w:gridCol w:w="771"/>
        <w:gridCol w:w="600"/>
        <w:gridCol w:w="354"/>
        <w:gridCol w:w="866"/>
        <w:gridCol w:w="471"/>
        <w:gridCol w:w="633"/>
        <w:gridCol w:w="1191"/>
        <w:gridCol w:w="1018"/>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w:t>
            </w:r>
          </w:p>
        </w:tc>
        <w:tc>
          <w:tcPr>
            <w:tcW w:w="4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56"/>
        <w:gridCol w:w="606"/>
        <w:gridCol w:w="906"/>
        <w:gridCol w:w="801"/>
        <w:gridCol w:w="65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6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6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6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391</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6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of the Issuer represents four (4)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the right to receive, at settlement after vesting,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vested on September 1, 2026 and were settled in ADSs on the same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485 of these RSUs vested on September 1, 2026 and were settled in ADSs on the same date. 243 of these RSUs are scheduled to vest on each of September 1, 2027 and September 1, 2028, subject in each case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50% of these RSUs are scheduled to vest on September 1, 2028 and 25% of these RSUs are scheduled to vest on each of September 1, 2029 and September 1, 2030, subject in each case to continued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KAM PING LEUNG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262" TargetMode="External"/><Relationship Id="rId5" Type="http://schemas.openxmlformats.org/officeDocument/2006/relationships/hyperlink" Target="http://www.sec.gov/cgi-bin/browse-edgar?action=getcompany&amp;CIK=00017378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3877</Characters>
  <CharactersWithSpaces>4520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