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86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86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Wang Mi</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PDD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PDD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FIRST FLOOR, 25 ST STEPHEN'S GREEN</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DUBLIN 2  L2</w:t>
            </w:r>
          </w:p>
        </w:tc>
        <w:tc>
          <w:tcPr>
            <w:tcW w:w="1240" w:type="dxa"/>
            <w:vAlign w:val="bottom"/>
          </w:tcPr>
          <w:p>
            <w:pPr>
              <w:ind w:left="420"/>
              <w:spacing w:after="0"/>
              <w:rPr>
                <w:sz w:val="20"/>
                <w:szCs w:val="20"/>
                <w:color w:val="auto"/>
              </w:rPr>
            </w:pPr>
            <w:r>
              <w:rPr>
                <w:rFonts w:ascii="Times New Roman" w:cs="Times New Roman" w:eastAsia="Times New Roman" w:hAnsi="Times New Roman"/>
                <w:sz w:val="20"/>
                <w:szCs w:val="20"/>
                <w:color w:val="0000FF"/>
                <w:w w:val="94"/>
              </w:rPr>
              <w:t>D02 XF99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20"/>
          <w:szCs w:val="20"/>
          <w:color w:val="0000FF"/>
        </w:rPr>
        <w:t>SVP of Engineering</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6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6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6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6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060" w:type="dxa"/>
            <w:vAlign w:val="bottom"/>
          </w:tcPr>
          <w:p>
            <w:pPr>
              <w:ind w:left="3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54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60" w:type="dxa"/>
            <w:vAlign w:val="bottom"/>
            <w:tcBorders>
              <w:bottom w:val="single" w:sz="8" w:color="2C2C2C"/>
            </w:tcBorders>
          </w:tcPr>
          <w:p>
            <w:pPr>
              <w:jc w:val="center"/>
              <w:ind w:left="190"/>
              <w:spacing w:after="0"/>
              <w:rPr>
                <w:sz w:val="20"/>
                <w:szCs w:val="20"/>
                <w:color w:val="auto"/>
              </w:rPr>
            </w:pPr>
            <w:r>
              <w:rPr>
                <w:rFonts w:ascii="Times New Roman" w:cs="Times New Roman" w:eastAsia="Times New Roman" w:hAnsi="Times New Roman"/>
                <w:sz w:val="20"/>
                <w:szCs w:val="20"/>
                <w:color w:val="0000FF"/>
                <w:w w:val="95"/>
              </w:rPr>
              <w:t>322,350</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54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60" w:type="dxa"/>
            <w:vAlign w:val="bottom"/>
            <w:tcBorders>
              <w:bottom w:val="single" w:sz="8" w:color="2C2C2C"/>
            </w:tcBorders>
          </w:tcPr>
          <w:p>
            <w:pPr>
              <w:jc w:val="center"/>
              <w:ind w:left="190"/>
              <w:spacing w:after="0"/>
              <w:rPr>
                <w:sz w:val="20"/>
                <w:szCs w:val="20"/>
                <w:color w:val="auto"/>
              </w:rPr>
            </w:pPr>
            <w:r>
              <w:rPr>
                <w:rFonts w:ascii="Times New Roman" w:cs="Times New Roman" w:eastAsia="Times New Roman" w:hAnsi="Times New Roman"/>
                <w:sz w:val="20"/>
                <w:szCs w:val="20"/>
                <w:color w:val="0000FF"/>
                <w:w w:val="98"/>
              </w:rPr>
              <w:t>18,750</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54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60" w:type="dxa"/>
            <w:vAlign w:val="bottom"/>
            <w:tcBorders>
              <w:bottom w:val="single" w:sz="8" w:color="2C2C2C"/>
            </w:tcBorders>
          </w:tcPr>
          <w:p>
            <w:pPr>
              <w:jc w:val="center"/>
              <w:ind w:left="190"/>
              <w:spacing w:after="0"/>
              <w:rPr>
                <w:sz w:val="20"/>
                <w:szCs w:val="20"/>
                <w:color w:val="auto"/>
              </w:rPr>
            </w:pPr>
            <w:r>
              <w:rPr>
                <w:rFonts w:ascii="Times New Roman" w:cs="Times New Roman" w:eastAsia="Times New Roman" w:hAnsi="Times New Roman"/>
                <w:sz w:val="20"/>
                <w:szCs w:val="20"/>
                <w:color w:val="0000FF"/>
                <w:w w:val="98"/>
              </w:rPr>
              <w:t>37,500</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154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60" w:type="dxa"/>
            <w:vAlign w:val="bottom"/>
            <w:tcBorders>
              <w:bottom w:val="single" w:sz="8" w:color="2C2C2C"/>
            </w:tcBorders>
          </w:tcPr>
          <w:p>
            <w:pPr>
              <w:jc w:val="center"/>
              <w:ind w:left="190"/>
              <w:spacing w:after="0"/>
              <w:rPr>
                <w:sz w:val="20"/>
                <w:szCs w:val="20"/>
                <w:color w:val="auto"/>
              </w:rPr>
            </w:pPr>
            <w:r>
              <w:rPr>
                <w:rFonts w:ascii="Times New Roman" w:cs="Times New Roman" w:eastAsia="Times New Roman" w:hAnsi="Times New Roman"/>
                <w:sz w:val="20"/>
                <w:szCs w:val="20"/>
                <w:color w:val="0000FF"/>
                <w:w w:val="98"/>
              </w:rPr>
              <w:t>18,750</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54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60" w:type="dxa"/>
            <w:vAlign w:val="bottom"/>
            <w:tcBorders>
              <w:bottom w:val="single" w:sz="8" w:color="2C2C2C"/>
            </w:tcBorders>
          </w:tcPr>
          <w:p>
            <w:pPr>
              <w:jc w:val="center"/>
              <w:ind w:left="190"/>
              <w:spacing w:after="0"/>
              <w:rPr>
                <w:sz w:val="20"/>
                <w:szCs w:val="20"/>
                <w:color w:val="auto"/>
              </w:rPr>
            </w:pPr>
            <w:r>
              <w:rPr>
                <w:rFonts w:ascii="Times New Roman" w:cs="Times New Roman" w:eastAsia="Times New Roman" w:hAnsi="Times New Roman"/>
                <w:sz w:val="20"/>
                <w:szCs w:val="20"/>
                <w:color w:val="0000FF"/>
                <w:w w:val="98"/>
              </w:rPr>
              <w:t>15,000</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54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60" w:type="dxa"/>
            <w:vAlign w:val="bottom"/>
            <w:tcBorders>
              <w:bottom w:val="single" w:sz="8" w:color="2C2C2C"/>
            </w:tcBorders>
          </w:tcPr>
          <w:p>
            <w:pPr>
              <w:jc w:val="center"/>
              <w:ind w:left="190"/>
              <w:spacing w:after="0"/>
              <w:rPr>
                <w:sz w:val="20"/>
                <w:szCs w:val="20"/>
                <w:color w:val="auto"/>
              </w:rPr>
            </w:pPr>
            <w:r>
              <w:rPr>
                <w:rFonts w:ascii="Times New Roman" w:cs="Times New Roman" w:eastAsia="Times New Roman" w:hAnsi="Times New Roman"/>
                <w:sz w:val="20"/>
                <w:szCs w:val="20"/>
                <w:color w:val="0000FF"/>
                <w:w w:val="98"/>
              </w:rPr>
              <w:t>40,000</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(9)</w:t>
            </w:r>
          </w:p>
        </w:tc>
        <w:tc>
          <w:tcPr>
            <w:tcW w:w="154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60" w:type="dxa"/>
            <w:vAlign w:val="bottom"/>
            <w:tcBorders>
              <w:bottom w:val="single" w:sz="8" w:color="2C2C2C"/>
            </w:tcBorders>
          </w:tcPr>
          <w:p>
            <w:pPr>
              <w:jc w:val="center"/>
              <w:ind w:left="190"/>
              <w:spacing w:after="0"/>
              <w:rPr>
                <w:sz w:val="20"/>
                <w:szCs w:val="20"/>
                <w:color w:val="auto"/>
              </w:rPr>
            </w:pPr>
            <w:r>
              <w:rPr>
                <w:rFonts w:ascii="Times New Roman" w:cs="Times New Roman" w:eastAsia="Times New Roman" w:hAnsi="Times New Roman"/>
                <w:sz w:val="20"/>
                <w:szCs w:val="20"/>
                <w:color w:val="0000FF"/>
                <w:w w:val="98"/>
              </w:rPr>
              <w:t>30,000</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(10)</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(10)</w:t>
            </w:r>
          </w:p>
        </w:tc>
        <w:tc>
          <w:tcPr>
            <w:tcW w:w="154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60" w:type="dxa"/>
            <w:vAlign w:val="bottom"/>
            <w:tcBorders>
              <w:bottom w:val="single" w:sz="8" w:color="2C2C2C"/>
            </w:tcBorders>
          </w:tcPr>
          <w:p>
            <w:pPr>
              <w:jc w:val="center"/>
              <w:ind w:left="190"/>
              <w:spacing w:after="0"/>
              <w:rPr>
                <w:sz w:val="20"/>
                <w:szCs w:val="20"/>
                <w:color w:val="auto"/>
              </w:rPr>
            </w:pPr>
            <w:r>
              <w:rPr>
                <w:rFonts w:ascii="Times New Roman" w:cs="Times New Roman" w:eastAsia="Times New Roman" w:hAnsi="Times New Roman"/>
                <w:sz w:val="20"/>
                <w:szCs w:val="20"/>
                <w:color w:val="0000FF"/>
                <w:w w:val="98"/>
              </w:rPr>
              <w:t>30,000</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(11)</w:t>
            </w:r>
          </w:p>
        </w:tc>
        <w:tc>
          <w:tcPr>
            <w:tcW w:w="154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60" w:type="dxa"/>
            <w:vAlign w:val="bottom"/>
            <w:tcBorders>
              <w:bottom w:val="single" w:sz="8" w:color="2C2C2C"/>
            </w:tcBorders>
          </w:tcPr>
          <w:p>
            <w:pPr>
              <w:jc w:val="center"/>
              <w:ind w:left="190"/>
              <w:spacing w:after="0"/>
              <w:rPr>
                <w:sz w:val="20"/>
                <w:szCs w:val="20"/>
                <w:color w:val="auto"/>
              </w:rPr>
            </w:pPr>
            <w:r>
              <w:rPr>
                <w:rFonts w:ascii="Times New Roman" w:cs="Times New Roman" w:eastAsia="Times New Roman" w:hAnsi="Times New Roman"/>
                <w:sz w:val="20"/>
                <w:szCs w:val="20"/>
                <w:color w:val="0000FF"/>
                <w:w w:val="95"/>
              </w:rPr>
              <w:t>100,000</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are all exercisable as of the filing date. The expiration dates for 286,100 options, 18,750 options and 17,500 options are February 28, 2039, August 31, 2039 and March 31, 2040, respectively.</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of the Issuer represents four (4) Class A ordinary shares.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option represents the right to receive, at settlement after exercise, one American Depositary Share ("ADS") of the Issuer, and has an exercise price of US$0.026.</w:t>
      </w:r>
    </w:p>
    <w:p>
      <w:pPr>
        <w:spacing w:after="0" w:line="52"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will become exercisable on September 1, 2026. The expiration date for these options is August 31, 2039. The date exercisable has taken into account the three-year lock-up period included as a term in the grant of options.</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Half of these options will become exercisable on each of the following dates: April 1, 2026 and April 1, 2027. The expiration date for these options is March 31, 2040. The date exercisable has taken into account the three-year lock-up period included as a term in the grant of options.</w:t>
      </w:r>
    </w:p>
    <w:p>
      <w:pPr>
        <w:spacing w:after="0" w:line="17"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One-third of these options will become exercisable on each of the following dates: April 1, 2026, April 1, 2027 and April 1, 2028. The expiration date for these options is March 31, 2041. The date exercisable has taken into account the three-year lock-up period included as a term in the grant of options.</w:t>
      </w:r>
    </w:p>
    <w:p>
      <w:pPr>
        <w:spacing w:after="0" w:line="17"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these options will become exercisable on each of the following dates: April 1, 2026, April 1, 2027, April 1, 2028 and April 1, 2029. The expiration date for these options is March 31, 2042. The date exercisable has taken into account the three-year lock-up period included as a term in the grant of options.</w:t>
      </w:r>
    </w:p>
    <w:p>
      <w:pPr>
        <w:spacing w:after="0" w:line="17"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these options will become exercisable on each of the following dates: June 1, 2027, June 1, 2028, June 1, 2029 and June 1, 2030. The expiration date for these options is May 31, 2043. The date exercisable has taken into account the three-year lock-up period included as a term in the grant of options.</w:t>
      </w:r>
    </w:p>
    <w:p>
      <w:pPr>
        <w:spacing w:after="0" w:line="17"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these options will become exercisable on each of the following dates: May 1, 2028, May 1, 2029, May 1, 2030 and May 1, 2031. The expiration date for these options is April 30, 2044. The date exercisable has taken into account the three-year lock-up period included as a term in the grant of options.</w:t>
      </w:r>
    </w:p>
    <w:p>
      <w:pPr>
        <w:spacing w:after="0" w:line="17" w:lineRule="exact"/>
        <w:rPr>
          <w:rFonts w:ascii="Times New Roman" w:cs="Times New Roman" w:eastAsia="Times New Roman" w:hAnsi="Times New Roman"/>
          <w:sz w:val="15"/>
          <w:szCs w:val="15"/>
          <w:color w:val="008000"/>
        </w:rPr>
      </w:pPr>
    </w:p>
    <w:p>
      <w:pPr>
        <w:ind w:left="280" w:hanging="235"/>
        <w:spacing w:after="0"/>
        <w:tabs>
          <w:tab w:leader="none" w:pos="2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these options will become exercisable on each of the following dates: May 1, 2029, May 1, 2030, May 1, 2031 and May 1, 2032. The expiration date for these</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options is April 30, 2045. The date exercisable has taken into account the three-year lock-up period included as a term in the grant of options.</w:t>
      </w:r>
    </w:p>
    <w:p>
      <w:pPr>
        <w:spacing w:after="0" w:line="53" w:lineRule="exact"/>
        <w:rPr>
          <w:sz w:val="20"/>
          <w:szCs w:val="20"/>
          <w:color w:val="auto"/>
        </w:rPr>
      </w:pPr>
    </w:p>
    <w:p>
      <w:pPr>
        <w:ind w:right="360" w:firstLine="5"/>
        <w:spacing w:after="0" w:line="259" w:lineRule="auto"/>
        <w:tabs>
          <w:tab w:leader="none" w:pos="22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these options will become exercisable on each of the following dates: December 1, 2029, December 1, 2030, December 1, 2031 and December 1, 2032. The expiration date for these options is November 30, 2045. The date exercisable has taken into account the three-year lock-up period included as a term in the grant of options.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3"/>
              </w:rPr>
              <w:t>/s/ Wang Mi</w:t>
            </w:r>
          </w:p>
        </w:tc>
        <w:tc>
          <w:tcPr>
            <w:tcW w:w="12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6869" TargetMode="External"/><Relationship Id="rId11" Type="http://schemas.openxmlformats.org/officeDocument/2006/relationships/hyperlink" Target="http://www.sec.gov/cgi-bin/browse-edgar?action=getcompany&amp;CIK=00017378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2026-03-18T20:03:31Z</dcterms:created>
  <dcterms:modified xsi:type="dcterms:W3CDTF">2026-03-18T20:03:31Z</dcterms:modified>
</cp:coreProperties>
</file>