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PDD Holdings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First Floor, 25 St Stephen’s Green,</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Dublin 2, D02 XF99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26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PDD HOLDINGS INC.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Lei Chen</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Lei Chen</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Co-Chairman of the Board of Directors and Co-Chief Executive</w:t>
            </w: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Jiazhen Zhao</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Jiazhen Zhao</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Co-Chairman of the Board of Directors and Co-Chief Executive</w:t>
            </w: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PDD Holdings Announces First Quarter 2026 Unaudited Financial Results</w:t>
      </w:r>
    </w:p>
    <w:p>
      <w:pPr>
        <w:spacing w:after="0" w:line="2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 xml:space="preserve">DUBLIN and SHANGHAI, May 27, 2026 (GLOBE NEWSWIRE)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PDD Holdings Inc.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PDD Holdings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or the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Company</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(NASDAQ: PDD), today announced its unaudited financial results for the first quarter ended March 31,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33"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 the quarter were RMB106.2 billion (US$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15.4 billion), an increase of 11% from RMB95.7 billion in the same quarter of 2025.</w:t>
      </w:r>
    </w:p>
    <w:p>
      <w:pPr>
        <w:spacing w:after="0" w:line="131" w:lineRule="exact"/>
        <w:rPr>
          <w:rFonts w:ascii="Arial" w:cs="Arial" w:eastAsia="Arial" w:hAnsi="Arial"/>
          <w:sz w:val="18"/>
          <w:szCs w:val="18"/>
          <w:b w:val="1"/>
          <w:bCs w:val="1"/>
          <w:color w:val="auto"/>
        </w:rPr>
      </w:pPr>
    </w:p>
    <w:p>
      <w:pPr>
        <w:jc w:val="both"/>
        <w:ind w:left="340" w:right="20" w:hanging="332"/>
        <w:spacing w:after="0" w:line="319" w:lineRule="auto"/>
        <w:tabs>
          <w:tab w:leader="none" w:pos="34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 xml:space="preserve">Operating profit </w:t>
      </w:r>
      <w:r>
        <w:rPr>
          <w:rFonts w:ascii="Times New Roman" w:cs="Times New Roman" w:eastAsia="Times New Roman" w:hAnsi="Times New Roman"/>
          <w:sz w:val="17"/>
          <w:szCs w:val="17"/>
          <w:color w:val="auto"/>
        </w:rPr>
        <w:t>in the quarter was RMB19.6 billion (US$2.8 billion), an increase of 22% from RMB16.1 billion in the same quarter of 2025.</w:t>
      </w:r>
      <w:r>
        <w:rPr>
          <w:rFonts w:ascii="Times New Roman" w:cs="Times New Roman" w:eastAsia="Times New Roman" w:hAnsi="Times New Roman"/>
          <w:sz w:val="17"/>
          <w:szCs w:val="17"/>
          <w:b w:val="1"/>
          <w:bCs w:val="1"/>
          <w:color w:val="auto"/>
        </w:rPr>
        <w:t xml:space="preserve"> Non-GAAP</w:t>
      </w:r>
      <w:r>
        <w:rPr>
          <w:rFonts w:ascii="Times New Roman" w:cs="Times New Roman" w:eastAsia="Times New Roman" w:hAnsi="Times New Roman"/>
          <w:sz w:val="28"/>
          <w:szCs w:val="28"/>
          <w:b w:val="1"/>
          <w:bCs w:val="1"/>
          <w:color w:val="auto"/>
          <w:vertAlign w:val="superscript"/>
        </w:rPr>
        <w:t>2</w:t>
      </w:r>
      <w:r>
        <w:rPr>
          <w:rFonts w:ascii="Times New Roman" w:cs="Times New Roman" w:eastAsia="Times New Roman" w:hAnsi="Times New Roman"/>
          <w:sz w:val="17"/>
          <w:szCs w:val="17"/>
          <w:b w:val="1"/>
          <w:bCs w:val="1"/>
          <w:color w:val="auto"/>
        </w:rPr>
        <w:t xml:space="preserve"> operating profit </w:t>
      </w:r>
      <w:r>
        <w:rPr>
          <w:rFonts w:ascii="Times New Roman" w:cs="Times New Roman" w:eastAsia="Times New Roman" w:hAnsi="Times New Roman"/>
          <w:sz w:val="17"/>
          <w:szCs w:val="17"/>
          <w:color w:val="auto"/>
        </w:rPr>
        <w:t>in the quarter was RMB21.1 billion (US$3.1 billion), an increase of 15% from RMB18.3 billion in the same quarter of 2025.</w:t>
      </w:r>
    </w:p>
    <w:p>
      <w:pPr>
        <w:jc w:val="both"/>
        <w:ind w:left="340" w:hanging="332"/>
        <w:spacing w:after="0" w:line="268"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in the quarter was RMB12.5 billion (US$1.8 billion), a decrease of 15% from RMB14.7 billion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same quarter of 2025. </w:t>
      </w: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18"/>
          <w:szCs w:val="18"/>
          <w:color w:val="auto"/>
        </w:rPr>
        <w:t xml:space="preserve"> in the quarter was RMB14.1 billion (US$2.0 billion), a decrease of 17% from RMB16.9 billion in the same quarter of 2025.</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“This quarter marks the start of deep transformations in our business, our internal processes and our organization,” said Mr. Lei Chen, Co-Chairman and Co-Chief Executive Officer of PDD Holdings. “We are actively stepping up to our responsibilities as a platform enterprise to create greater value for our users, the industries and the society as a whole.”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we head into the next decade of our journey, supply chain investments will be our core strategic priority,” said Mr. Jiazhen Zhao, Co-Chairman and Co-Chief Executive Officer of PDD Holdings. “We will commit significant resources to building the first-party brand business, unlocking new opportunities for our supply chain partners, and driving exceptional value for our customers.”</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are investing resolutely in our supply chain capabilities,” said Ms. Jun Liu, VP of Finance of PDD Holdings. “These investments are the cornerstone of a resilient and thriving platform ecosystem, and we are prepared to invest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7" w:lineRule="exact"/>
        <w:rPr>
          <w:sz w:val="20"/>
          <w:szCs w:val="20"/>
          <w:color w:val="auto"/>
        </w:rPr>
      </w:pPr>
    </w:p>
    <w:p>
      <w:pPr>
        <w:jc w:val="both"/>
        <w:ind w:firstLine="8"/>
        <w:spacing w:after="0" w:line="210"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announcement contains translations of certain Renminbi (“RMB”) amounts into U.S. dollars (“US$”) at a specified rate solely for the convenience of the reader. Unless otherwise noted, the translation of RMB into US$ has been made at RMB6.8980 to US$1.00, the noon buying rate in effect on March 31, 2026 as set forth in the H.10 Statistical Release of the Federal Reserve Board.</w:t>
      </w:r>
    </w:p>
    <w:p>
      <w:pPr>
        <w:spacing w:after="0" w:line="24" w:lineRule="exact"/>
        <w:rPr>
          <w:sz w:val="20"/>
          <w:szCs w:val="20"/>
          <w:color w:val="auto"/>
        </w:rPr>
      </w:pPr>
    </w:p>
    <w:p>
      <w:pPr>
        <w:ind w:right="20" w:firstLine="8"/>
        <w:spacing w:after="0" w:line="195" w:lineRule="auto"/>
        <w:tabs>
          <w:tab w:leader="none" w:pos="134"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non-GAAP financial measures exclude share-based compensation expenses. See “Reconciliation of Non-GAAP Measures to the Most Directly Comparable GAAP Measures” set forth at the end of this press release.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2026 Unaudited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RMB106.2 billion (US$15.4 billion), an increase of 11% from RMB95.7 billion in the same quarter of 2025.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increase in revenues from transaction services.</w:t>
      </w:r>
    </w:p>
    <w:p>
      <w:pPr>
        <w:spacing w:after="0" w:line="155" w:lineRule="exact"/>
        <w:rPr>
          <w:sz w:val="20"/>
          <w:szCs w:val="20"/>
          <w:color w:val="auto"/>
        </w:rPr>
      </w:pPr>
    </w:p>
    <w:p>
      <w:pPr>
        <w:ind w:left="340" w:hanging="332"/>
        <w:spacing w:after="0" w:line="285"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Revenues from online marketing services and others </w:t>
      </w:r>
      <w:r>
        <w:rPr>
          <w:rFonts w:ascii="Times New Roman" w:cs="Times New Roman" w:eastAsia="Times New Roman" w:hAnsi="Times New Roman"/>
          <w:sz w:val="18"/>
          <w:szCs w:val="18"/>
          <w:color w:val="auto"/>
        </w:rPr>
        <w:t>were RMB49.9 billion (US$7.2 billion), compared with RMB48.7 billion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w:t>
      </w:r>
    </w:p>
    <w:p>
      <w:pPr>
        <w:spacing w:after="0" w:line="155"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Revenues from transaction services </w:t>
      </w:r>
      <w:r>
        <w:rPr>
          <w:rFonts w:ascii="Times New Roman" w:cs="Times New Roman" w:eastAsia="Times New Roman" w:hAnsi="Times New Roman"/>
          <w:sz w:val="18"/>
          <w:szCs w:val="18"/>
          <w:color w:val="auto"/>
        </w:rPr>
        <w:t>were RMB56.3 billion (US$8.2 billion), an increase of 20% from RMB47.0 billion in the same quarter of 2025.</w:t>
      </w:r>
    </w:p>
    <w:p>
      <w:pPr>
        <w:spacing w:after="0" w:line="22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costs of revenues </w:t>
      </w:r>
      <w:r>
        <w:rPr>
          <w:rFonts w:ascii="Times New Roman" w:cs="Times New Roman" w:eastAsia="Times New Roman" w:hAnsi="Times New Roman"/>
          <w:sz w:val="18"/>
          <w:szCs w:val="18"/>
          <w:color w:val="auto"/>
        </w:rPr>
        <w:t>were RMB46.9 billion (US$6.8 billion), an increase of 15% from RMB40.9 billion in the same quarter of 2025. The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mainly came from the increased fulfilment fees, bandwidth and server costs, and payment processing fees.</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RMB39.8 billion (US$5.8 billion), compared with RMB38.6 billion in the same quarter of 2025.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increase in research and development expenses.</w:t>
      </w:r>
    </w:p>
    <w:p>
      <w:pPr>
        <w:spacing w:after="0" w:line="15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RMB33.8 billion (US$4.9 billion), compared with RMB33.4 billion in the same quarter of 2025.</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RMB1.6 billion (US$229 million), compared with RMB1.7 billion in the same quarter of 2025.</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RMB4.4 billion (US$640 million), compared with RMB3.6 billion in the same quarter of 2025.</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in the quarter was RMB19.6 billion (US$2.8 billion), an increase of 22% from RMB16.1 billion in the same quarter of 2025.</w:t>
      </w:r>
      <w:r>
        <w:rPr>
          <w:rFonts w:ascii="Times New Roman" w:cs="Times New Roman" w:eastAsia="Times New Roman" w:hAnsi="Times New Roman"/>
          <w:sz w:val="18"/>
          <w:szCs w:val="18"/>
          <w:b w:val="1"/>
          <w:bCs w:val="1"/>
          <w:color w:val="auto"/>
        </w:rPr>
        <w:t xml:space="preserve"> Non-GAAP operating profit </w:t>
      </w:r>
      <w:r>
        <w:rPr>
          <w:rFonts w:ascii="Times New Roman" w:cs="Times New Roman" w:eastAsia="Times New Roman" w:hAnsi="Times New Roman"/>
          <w:sz w:val="18"/>
          <w:szCs w:val="18"/>
          <w:color w:val="auto"/>
        </w:rPr>
        <w:t>in the quarter was RMB21.1 billion (US$3.1 billion), an increase of 15% from RMB18.3 billion in the same quarter of 2025.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in the quarter was RMB12.5 billion (US$1.8 billion), a decrease of 15% from RMB14.7 billion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same quarter of 2025. </w:t>
      </w: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18"/>
          <w:szCs w:val="18"/>
          <w:color w:val="auto"/>
        </w:rPr>
        <w:t xml:space="preserve"> in the quarter was RMB14.1 billion (US$2.0 billion), a decrease of 17% from RMB16.9 billion in the same quarter of 2025.</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Basic earnings per ADS </w:t>
      </w:r>
      <w:r>
        <w:rPr>
          <w:rFonts w:ascii="Times New Roman" w:cs="Times New Roman" w:eastAsia="Times New Roman" w:hAnsi="Times New Roman"/>
          <w:sz w:val="18"/>
          <w:szCs w:val="18"/>
          <w:color w:val="auto"/>
        </w:rPr>
        <w:t>was RMB8.94 (US$1.30) and diluted earnings per ADS was RMB8.48 (US$1.23), compared with basic earnings per ADS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RMB10.59 and diluted earnings per ADS of RMB9.94 in the same quarter of 2025. </w:t>
      </w:r>
      <w:r>
        <w:rPr>
          <w:rFonts w:ascii="Times New Roman" w:cs="Times New Roman" w:eastAsia="Times New Roman" w:hAnsi="Times New Roman"/>
          <w:sz w:val="18"/>
          <w:szCs w:val="18"/>
          <w:b w:val="1"/>
          <w:bCs w:val="1"/>
          <w:color w:val="auto"/>
        </w:rPr>
        <w:t>Non-GAAP diluted earnings per ADS</w:t>
      </w:r>
      <w:r>
        <w:rPr>
          <w:rFonts w:ascii="Times New Roman" w:cs="Times New Roman" w:eastAsia="Times New Roman" w:hAnsi="Times New Roman"/>
          <w:sz w:val="18"/>
          <w:szCs w:val="18"/>
          <w:color w:val="auto"/>
        </w:rPr>
        <w:t xml:space="preserve"> was RMB9.51 (US$1.38), compared with RMB11.41 in the same quarter of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cash generated from operating activities </w:t>
      </w:r>
      <w:r>
        <w:rPr>
          <w:rFonts w:ascii="Times New Roman" w:cs="Times New Roman" w:eastAsia="Times New Roman" w:hAnsi="Times New Roman"/>
          <w:sz w:val="18"/>
          <w:szCs w:val="18"/>
          <w:color w:val="auto"/>
        </w:rPr>
        <w:t>was RMB16.4 billion (US$2.4 billion), compared with RMB15.5 billion in the same quarter of 2025.</w:t>
      </w:r>
    </w:p>
    <w:p>
      <w:pPr>
        <w:spacing w:after="0" w:line="2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short-term investments </w:t>
      </w:r>
      <w:r>
        <w:rPr>
          <w:rFonts w:ascii="Times New Roman" w:cs="Times New Roman" w:eastAsia="Times New Roman" w:hAnsi="Times New Roman"/>
          <w:sz w:val="18"/>
          <w:szCs w:val="18"/>
          <w:color w:val="auto"/>
        </w:rPr>
        <w:t>were RMB436.1 billion (US$63.2 billion) as of March 31, 2026, compared with RMB422.3 billion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31, 2025.</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non-current assets </w:t>
      </w:r>
      <w:r>
        <w:rPr>
          <w:rFonts w:ascii="Times New Roman" w:cs="Times New Roman" w:eastAsia="Times New Roman" w:hAnsi="Times New Roman"/>
          <w:sz w:val="18"/>
          <w:szCs w:val="18"/>
          <w:color w:val="auto"/>
        </w:rPr>
        <w:t>were RMB95.2 billion (US$13.8 billion) as of March 31, 2026, compared with RMB104.7 billion as of December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mainly included time deposits, held-to-maturity debt securities, and available-for-sale debt securities.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will hold an earnings conference call at 7:30 AM ET on May 27, 2026 (12:30 PM IST and 7:30 PM HKT on the same day).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conference call will be webcast live at </w:t>
      </w:r>
      <w:r>
        <w:rPr>
          <w:rFonts w:ascii="Times New Roman" w:cs="Times New Roman" w:eastAsia="Times New Roman" w:hAnsi="Times New Roman"/>
          <w:sz w:val="18"/>
          <w:szCs w:val="18"/>
          <w:u w:val="single" w:color="auto"/>
          <w:color w:val="auto"/>
        </w:rPr>
        <w:t>https://investor.pddholdings.com/investor-events</w:t>
      </w:r>
      <w:r>
        <w:rPr>
          <w:rFonts w:ascii="Times New Roman" w:cs="Times New Roman" w:eastAsia="Times New Roman" w:hAnsi="Times New Roman"/>
          <w:sz w:val="18"/>
          <w:szCs w:val="18"/>
          <w:color w:val="auto"/>
        </w:rPr>
        <w:t>. The webcast will be available for replay at the same website following the conclusion of the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measures, such as non-GAAP operating profit, non-GAAP net income attributable to ordinary shareholders, non-GAAP diluted earnings per ordinary share, and non-GAAP diluted earnings per ADS, as supplemental measures to review and assess operating performance. The presentation of these non-GAAP financial measures is not intended to be considered in isolation or as a substitute for the financial information prepared and presented in accordance with accounting principles generally accepted in the United States of America (“U.S. GAAP”). The Company’s non-GAAP financial measures exclude the impact of share-based compensation expenses.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presents these non-GAAP financial measures because they are used by management to evaluate operating performance and formulate business plans. The Company believes that the non-GAAP financial measures help identify underlying trends in its business by excluding the impact of share-based compensation expenses, which are non-cash charges. The Company also believes that the non-GAAP financial measures may provide further information about the Company’s results of operations, and enhance the overall understanding of the Company’s past performance and future prospects.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non-GAAP financial measures are not defined under U.S. GAAP and are not presented in accordance with U.S. GAAP. The non-GAAP financial measures have limitations as analytical tools. These non-GAAP financial measures do not reflect all items of income and expenses that affect the Company’s operations and do not represent the residual cash flow available for discretionary expenditures. Further,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performance. The Company encourages you to review the Company’s financial information in its entirety and not rely on a single financial measure.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press release.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business outlook and quotations from management in this announcement, as well as the Company’s strategic and operational plans, contain forward-looking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the e-commerce markets globally and in the countries or regions where the Company has operations; changes in its revenues and certain cost or expense items; the expected growth of e-commerce markets globally and in the countries or regions where the Company has operations; developments in the relevant governmental policies and regulations relating to the Company’s industry; and general economic and business conditions globally and in the countries or regions where the Company has operations; and assumptions underlying or related to any of the foregoing.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PDD Holdings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PDD Holdings is a multinational commerce group that owns and operates a portfolio of businesses. PDD Holdings aims to bring more businesses and people into the digital economy so that local communities and small businesses can benefit from the increased productivity and new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investor@pddholdings.com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media@pddholdings.com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of Renminbi (“RMB”) and U.S. dollars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312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60" w:type="dxa"/>
            <w:vAlign w:val="bottom"/>
            <w:tcBorders>
              <w:top w:val="single" w:sz="8" w:color="auto"/>
            </w:tcBorders>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6"/>
                <w:szCs w:val="16"/>
                <w:color w:val="auto"/>
              </w:rPr>
            </w:pPr>
          </w:p>
        </w:tc>
        <w:tc>
          <w:tcPr>
            <w:tcW w:w="1660" w:type="dxa"/>
            <w:vAlign w:val="bottom"/>
            <w:tcBorders>
              <w:top w:val="single" w:sz="8" w:color="auto"/>
            </w:tcBorders>
            <w:gridSpan w:val="2"/>
          </w:tcPr>
          <w:p>
            <w:pPr>
              <w:ind w:left="50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1460" w:type="dxa"/>
            <w:vAlign w:val="bottom"/>
            <w:tcBorders>
              <w:top w:val="single" w:sz="8" w:color="auto"/>
            </w:tcBorders>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108,901</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123,041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17,837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73,831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76,213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3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5,109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313,408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313,030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45,380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10,205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9,768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7,527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8,745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9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518,981</w:t>
            </w:r>
          </w:p>
        </w:tc>
        <w:tc>
          <w:tcPr>
            <w:tcW w:w="2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536,555</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1,306</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104,708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95,179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13,798</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9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111,064</w:t>
            </w:r>
          </w:p>
        </w:tc>
        <w:tc>
          <w:tcPr>
            <w:tcW w:w="2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101,149</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630,045</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637,704</w:t>
            </w: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9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of Renminbi (“RMB”) and U.S. dollars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312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60" w:type="dxa"/>
            <w:vAlign w:val="bottom"/>
            <w:tcBorders>
              <w:top w:val="single" w:sz="8" w:color="auto"/>
            </w:tcBorders>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6"/>
                <w:szCs w:val="16"/>
                <w:color w:val="auto"/>
              </w:rPr>
            </w:pPr>
          </w:p>
        </w:tc>
        <w:tc>
          <w:tcPr>
            <w:tcW w:w="1660" w:type="dxa"/>
            <w:vAlign w:val="bottom"/>
            <w:tcBorders>
              <w:top w:val="single" w:sz="8" w:color="auto"/>
            </w:tcBorders>
            <w:gridSpan w:val="2"/>
          </w:tcPr>
          <w:p>
            <w:pPr>
              <w:jc w:val="right"/>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1460" w:type="dxa"/>
            <w:vAlign w:val="bottom"/>
            <w:tcBorders>
              <w:top w:val="single" w:sz="8" w:color="auto"/>
            </w:tcBorders>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1,087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advances and deferred revenues</w:t>
            </w:r>
          </w:p>
        </w:tc>
        <w:tc>
          <w:tcPr>
            <w:tcW w:w="3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3,379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Payable to merchants</w:t>
            </w:r>
          </w:p>
        </w:tc>
        <w:tc>
          <w:tcPr>
            <w:tcW w:w="3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107,407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109,151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15,824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81,658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77,309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Merchant deposits</w:t>
            </w:r>
          </w:p>
        </w:tc>
        <w:tc>
          <w:tcPr>
            <w:tcW w:w="3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17,708</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17,905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213,738</w:t>
            </w:r>
          </w:p>
        </w:tc>
        <w:tc>
          <w:tcPr>
            <w:tcW w:w="2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211,642</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2,880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216,660</w:t>
            </w:r>
          </w:p>
        </w:tc>
        <w:tc>
          <w:tcPr>
            <w:tcW w:w="2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214,277</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3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125,768</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127,292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3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3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2,116</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(1,913)</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284,163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296,710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43,014</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3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413,385</w:t>
            </w:r>
          </w:p>
        </w:tc>
        <w:tc>
          <w:tcPr>
            <w:tcW w:w="2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423,427</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630,045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637,704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92,448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Absolute value is less than RMB1 million or US$1 million.</w:t>
            </w:r>
          </w:p>
        </w:tc>
        <w:tc>
          <w:tcPr>
            <w:tcW w:w="1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80" w:type="dxa"/>
            <w:vAlign w:val="bottom"/>
            <w:gridSpan w:val="7"/>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6"/>
                <w:szCs w:val="16"/>
                <w:color w:val="auto"/>
              </w:rPr>
            </w:pPr>
          </w:p>
        </w:tc>
        <w:tc>
          <w:tcPr>
            <w:tcW w:w="1620" w:type="dxa"/>
            <w:vAlign w:val="bottom"/>
            <w:gridSpan w:val="3"/>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16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4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95,672</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106,229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31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(40,946)</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(46,893)</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1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(33,403)</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(33,773)</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14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(1,659)</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1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(3,578)</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(4,418)</w:t>
            </w: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(38,640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(39,770</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14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16,086</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19,566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2,837</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investment income/(loss), net</w:t>
            </w:r>
          </w:p>
        </w:tc>
        <w:tc>
          <w:tcPr>
            <w:tcW w:w="314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223</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31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(242)</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314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3,261</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income tax and share of results of equity investees</w:t>
            </w:r>
          </w:p>
        </w:tc>
        <w:tc>
          <w:tcPr>
            <w:tcW w:w="314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19,328</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16,758</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2,430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Share of results of equity investees</w:t>
            </w:r>
          </w:p>
        </w:tc>
        <w:tc>
          <w:tcPr>
            <w:tcW w:w="31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(105)</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314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(4,481)</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(4,115)</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14,742</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12,547</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54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(Amounts in millions of RMB and US$, except for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5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5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6"/>
                <w:szCs w:val="16"/>
                <w:color w:val="auto"/>
              </w:rPr>
            </w:pPr>
          </w:p>
        </w:tc>
        <w:tc>
          <w:tcPr>
            <w:tcW w:w="1620" w:type="dxa"/>
            <w:vAlign w:val="bottom"/>
            <w:gridSpan w:val="3"/>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r>
      <w:tr>
        <w:trPr>
          <w:trHeight w:val="238"/>
        </w:trPr>
        <w:tc>
          <w:tcPr>
            <w:tcW w:w="5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14,742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12,547</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1,819</w:t>
            </w: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ordinary shareholders</w:t>
            </w:r>
          </w:p>
        </w:tc>
        <w:tc>
          <w:tcPr>
            <w:tcW w:w="124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14,742</w:t>
            </w:r>
          </w:p>
        </w:tc>
        <w:tc>
          <w:tcPr>
            <w:tcW w:w="34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12,547</w:t>
            </w:r>
          </w:p>
        </w:tc>
        <w:tc>
          <w:tcPr>
            <w:tcW w:w="3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1,819</w:t>
            </w:r>
          </w:p>
        </w:tc>
        <w:tc>
          <w:tcPr>
            <w:tcW w:w="100" w:type="dxa"/>
            <w:vAlign w:val="bottom"/>
            <w:tcBorders>
              <w:bottom w:val="single" w:sz="8" w:color="CCEEFF"/>
            </w:tcBorders>
          </w:tcPr>
          <w:p>
            <w:pPr>
              <w:spacing w:after="0"/>
              <w:rPr>
                <w:sz w:val="22"/>
                <w:szCs w:val="22"/>
                <w:color w:val="auto"/>
              </w:rPr>
            </w:pPr>
          </w:p>
        </w:tc>
      </w:tr>
      <w:tr>
        <w:trPr>
          <w:trHeight w:val="197"/>
        </w:trPr>
        <w:tc>
          <w:tcPr>
            <w:tcW w:w="5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2.49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r>
      <w:tr>
        <w:trPr>
          <w:trHeight w:val="216"/>
        </w:trPr>
        <w:tc>
          <w:tcPr>
            <w:tcW w:w="5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ADS (4 ordinary shares equals 1 ADS):</w:t>
            </w: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9.94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5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ordinary shares outstanding (in millions):</w:t>
            </w: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5,568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5,616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5,616</w:t>
            </w: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5,932</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5,920</w:t>
            </w:r>
          </w:p>
        </w:tc>
        <w:tc>
          <w:tcPr>
            <w:tcW w:w="8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5,920</w:t>
            </w:r>
          </w:p>
        </w:tc>
      </w:tr>
      <w:tr>
        <w:trPr>
          <w:trHeight w:val="630"/>
        </w:trPr>
        <w:tc>
          <w:tcPr>
            <w:tcW w:w="5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9"/>
              </w:rPr>
              <w:t>10</w:t>
            </w: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4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6"/>
                <w:szCs w:val="16"/>
                <w:color w:val="auto"/>
              </w:rPr>
            </w:pPr>
          </w:p>
        </w:tc>
        <w:tc>
          <w:tcPr>
            <w:tcW w:w="1620" w:type="dxa"/>
            <w:vAlign w:val="bottom"/>
            <w:gridSpan w:val="3"/>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Online marketing services and others</w:t>
            </w:r>
          </w:p>
        </w:tc>
        <w:tc>
          <w:tcPr>
            <w:tcW w:w="4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48,722</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49,936</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7,239</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Transaction services</w:t>
            </w:r>
          </w:p>
        </w:tc>
        <w:tc>
          <w:tcPr>
            <w:tcW w:w="42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46,950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56,293</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8,161</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95,672</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106,229</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6"/>
                <w:szCs w:val="16"/>
                <w:color w:val="auto"/>
              </w:rPr>
            </w:pPr>
          </w:p>
        </w:tc>
        <w:tc>
          <w:tcPr>
            <w:tcW w:w="1620" w:type="dxa"/>
            <w:vAlign w:val="bottom"/>
            <w:gridSpan w:val="3"/>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 included in:</w:t>
            </w:r>
          </w:p>
        </w:tc>
        <w:tc>
          <w:tcPr>
            <w:tcW w:w="2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3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924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1,524</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12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448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67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676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6"/>
                <w:szCs w:val="16"/>
                <w:color w:val="auto"/>
              </w:rPr>
            </w:pPr>
          </w:p>
        </w:tc>
        <w:tc>
          <w:tcPr>
            <w:tcW w:w="1620" w:type="dxa"/>
            <w:vAlign w:val="bottom"/>
            <w:gridSpan w:val="3"/>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16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6"/>
                <w:szCs w:val="16"/>
                <w:color w:val="auto"/>
              </w:rPr>
            </w:pPr>
          </w:p>
        </w:tc>
      </w:tr>
      <w:tr>
        <w:trPr>
          <w:trHeight w:val="238"/>
        </w:trPr>
        <w:tc>
          <w:tcPr>
            <w:tcW w:w="676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15,517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16,445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in)/generated from investing activities</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(6,384)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10"/>
        </w:trPr>
        <w:tc>
          <w:tcPr>
            <w:tcW w:w="67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9,064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16,522</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2,395</w:t>
            </w:r>
          </w:p>
        </w:tc>
        <w:tc>
          <w:tcPr>
            <w:tcW w:w="80" w:type="dxa"/>
            <w:vAlign w:val="bottom"/>
          </w:tcPr>
          <w:p>
            <w:pPr>
              <w:spacing w:after="0"/>
              <w:rPr>
                <w:sz w:val="18"/>
                <w:szCs w:val="18"/>
                <w:color w:val="auto"/>
              </w:rPr>
            </w:pP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126,194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182,732</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26,491</w:t>
            </w:r>
          </w:p>
        </w:tc>
        <w:tc>
          <w:tcPr>
            <w:tcW w:w="80" w:type="dxa"/>
            <w:vAlign w:val="bottom"/>
            <w:shd w:val="clear" w:color="auto" w:fill="CCEEFF"/>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135,258</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199,254</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Absolute value is less than RMB1 million or US$1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of RMB and US$, except for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44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76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6"/>
                <w:szCs w:val="16"/>
                <w:color w:val="auto"/>
              </w:rPr>
            </w:pPr>
          </w:p>
        </w:tc>
        <w:tc>
          <w:tcPr>
            <w:tcW w:w="1620" w:type="dxa"/>
            <w:vAlign w:val="bottom"/>
            <w:gridSpan w:val="3"/>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16,086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19,566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profit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ordinary shareholders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14,742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12,547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ordinary shareholders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weighted-average number of ordinary shares outstanding (in millions)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5,932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5,920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Non-GAAP adjustments to earnings per ordinary share</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diluted earnings per ordinary share</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Non-GAAP diluted earnings per ADS</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11.41</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9.51</w:t>
            </w: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76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2026-05-28T05:39:23Z</dcterms:created>
  <dcterms:modified xsi:type="dcterms:W3CDTF">2026-05-28T05:39:23Z</dcterms:modified>
</cp:coreProperties>
</file>