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001-38591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PDD Holdings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First Floor, 25 St Stephen’s Green,</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Dublin 2, D02 XF99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PDD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 Chen</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Lei Chen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Chairman of the Board of Directors and Co-Chief Executive</w:t>
            </w:r>
          </w:p>
        </w:tc>
      </w:tr>
      <w:tr>
        <w:trPr>
          <w:trHeight w:val="234"/>
        </w:trPr>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PDD Holdings Announces Fourth Quarter 2024 and Fiscal Year 2024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DUBLIN and SHANGHAI, March 20, 2025 (GLOBE NEWSWIRE) – PDD Holdings Inc. (“PDD Holdings” or the “Company”) (NASDAQ: PDD), today announced its unaudited financial results for the fourth quarter ended and the fiscal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Highlights</w:t>
      </w:r>
    </w:p>
    <w:p>
      <w:pPr>
        <w:spacing w:after="0" w:line="233" w:lineRule="exact"/>
        <w:rPr>
          <w:sz w:val="20"/>
          <w:szCs w:val="20"/>
          <w:color w:val="auto"/>
        </w:rPr>
      </w:pPr>
    </w:p>
    <w:p>
      <w:pPr>
        <w:ind w:left="440" w:hanging="432"/>
        <w:spacing w:after="0" w:line="188" w:lineRule="auto"/>
        <w:tabs>
          <w:tab w:leader="none" w:pos="4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quarter were RMB110,610.1 million (US$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15,153.5 million), an increase of 24% from RMB88,881.0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w:t>
      </w:r>
    </w:p>
    <w:p>
      <w:pPr>
        <w:spacing w:after="0" w:line="194" w:lineRule="exact"/>
        <w:rPr>
          <w:rFonts w:ascii="Times New Roman" w:cs="Times New Roman" w:eastAsia="Times New Roman" w:hAnsi="Times New Roman"/>
          <w:sz w:val="36"/>
          <w:szCs w:val="36"/>
          <w:color w:val="auto"/>
          <w:vertAlign w:val="superscript"/>
        </w:rPr>
      </w:pPr>
    </w:p>
    <w:p>
      <w:pPr>
        <w:jc w:val="both"/>
        <w:ind w:left="440" w:hanging="432"/>
        <w:spacing w:after="0" w:line="228"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in the quarter was RMB25,592.2 million (US$3,506.1 million), an increase of 14% from RMB22,395.0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2023. </w:t>
      </w: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operating profit</w:t>
      </w:r>
      <w:r>
        <w:rPr>
          <w:rFonts w:ascii="Times New Roman" w:cs="Times New Roman" w:eastAsia="Times New Roman" w:hAnsi="Times New Roman"/>
          <w:sz w:val="18"/>
          <w:szCs w:val="18"/>
          <w:color w:val="auto"/>
        </w:rPr>
        <w:t xml:space="preserve"> in the quarter was RMB27,996.5 million (US$3,835.5 million), an increase of 14% from RMB24,579.9 million in the same quarter of 2023.</w:t>
      </w:r>
    </w:p>
    <w:p>
      <w:pPr>
        <w:spacing w:after="0" w:line="194" w:lineRule="exact"/>
        <w:rPr>
          <w:rFonts w:ascii="Times New Roman" w:cs="Times New Roman" w:eastAsia="Times New Roman" w:hAnsi="Times New Roman"/>
          <w:sz w:val="18"/>
          <w:szCs w:val="18"/>
          <w:color w:val="auto"/>
        </w:rPr>
      </w:pPr>
    </w:p>
    <w:p>
      <w:pPr>
        <w:jc w:val="both"/>
        <w:ind w:left="440" w:hanging="432"/>
        <w:spacing w:after="0" w:line="268"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RMB27,446.6 million (US$3,760.2 million), an increase of 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RMB23,280.3 million in the same quarter of 2023.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RMB29,850.9 million (US$4,089.6 million), an increase of 17% from RMB25,476.5 million in the same quarter of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remained committed to driving sustainable growth for both our platform ecosystem and the broader supply chain,” said Mr. Lei Chen, Chairman and Co-Chief Executive Officer of PDD Holdings. “Through targeted innovations in platform operations and industry support policies, we continue to drive our high-quality development strategy to benefit the broader e-commerce ecosystem.”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year, we invested consistently in our platform ecosystem,” said Mr. Jiazhen Zhao, Executive Director and Co-Chief Executive Officer of PDD Holdings. “Leveraging our digital capabilities, we continued to give back to consumers and support quality merchants, building an inclusive ecosystem that creates value for all participants.”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quarter, we delivered stable financial results supported by the resolute execution of our high-quality development strategy,” said Ms. Jun Liu, VP of Finance of PDD Holdings. “Looking ahead, we will continue to prioritize investments in the platform ecosystem as the cornerstone of our long-term value creation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0"/>
          <w:szCs w:val="20"/>
          <w:color w:val="auto"/>
        </w:rPr>
      </w:pPr>
    </w:p>
    <w:p>
      <w:pPr>
        <w:jc w:val="both"/>
        <w:ind w:firstLine="8"/>
        <w:spacing w:after="0" w:line="210"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announcement contains translations of certain Renminbi (“RMB”) amounts into U.S. dollars (“US$”) at a specified rate solely for the convenience of the reader. Unless otherwise noted, the translation of RMB into US$ has been made at RMB7.2993 to US$1.00, the noon buying rate in effect on December 31, 2024 as set forth in the H.10 Statistical Release of the Federal Reserve Board.</w:t>
      </w:r>
    </w:p>
    <w:p>
      <w:pPr>
        <w:spacing w:after="0" w:line="24" w:lineRule="exact"/>
        <w:rPr>
          <w:sz w:val="20"/>
          <w:szCs w:val="20"/>
          <w:color w:val="auto"/>
        </w:rPr>
      </w:pPr>
    </w:p>
    <w:p>
      <w:pPr>
        <w:ind w:right="520" w:firstLine="8"/>
        <w:spacing w:after="0" w:line="210"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Company’s non-GAAP financial measures exclude share-based compensation expenses, fair value change of certain investments, and interest expenses related to the convertible bonds’ amortization to face value. See “Reconciliation of Non-GAAP Measures to the Most Directly Comparable GAAP Measures” set forth at the end of this press release.</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Fourth Quarter 2024 Unaudited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RMB110,610.1 million (US$15,153.5 million), an increase of 24% from RMB88,881.0 million in the same quarter of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due to the increase in revenues from online marketing services and transaction services.</w:t>
      </w:r>
    </w:p>
    <w:p>
      <w:pPr>
        <w:spacing w:after="0" w:line="155" w:lineRule="exact"/>
        <w:rPr>
          <w:sz w:val="20"/>
          <w:szCs w:val="20"/>
          <w:color w:val="auto"/>
        </w:rPr>
      </w:pPr>
    </w:p>
    <w:p>
      <w:pPr>
        <w:ind w:left="440" w:hanging="432"/>
        <w:spacing w:after="0" w:line="286"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online marketing services and others </w:t>
      </w:r>
      <w:r>
        <w:rPr>
          <w:rFonts w:ascii="Times New Roman" w:cs="Times New Roman" w:eastAsia="Times New Roman" w:hAnsi="Times New Roman"/>
          <w:sz w:val="18"/>
          <w:szCs w:val="18"/>
          <w:color w:val="auto"/>
        </w:rPr>
        <w:t>were RMB57,011.1 million (US$7,810.5 million), an increase of 17% from RMB48,675.6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w:t>
      </w:r>
    </w:p>
    <w:p>
      <w:pPr>
        <w:spacing w:after="0" w:line="154" w:lineRule="exact"/>
        <w:rPr>
          <w:rFonts w:ascii="Times New Roman" w:cs="Times New Roman" w:eastAsia="Times New Roman" w:hAnsi="Times New Roman"/>
          <w:sz w:val="18"/>
          <w:szCs w:val="18"/>
          <w:color w:val="auto"/>
        </w:rPr>
      </w:pPr>
    </w:p>
    <w:p>
      <w:pPr>
        <w:ind w:left="440" w:hanging="432"/>
        <w:spacing w:after="0" w:line="286"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transaction services </w:t>
      </w:r>
      <w:r>
        <w:rPr>
          <w:rFonts w:ascii="Times New Roman" w:cs="Times New Roman" w:eastAsia="Times New Roman" w:hAnsi="Times New Roman"/>
          <w:sz w:val="18"/>
          <w:szCs w:val="18"/>
          <w:color w:val="auto"/>
        </w:rPr>
        <w:t>were RMB53,599.0 million (US$7,343.0 million), an increase of 33% from RMB40,205.4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costs of revenues </w:t>
      </w:r>
      <w:r>
        <w:rPr>
          <w:rFonts w:ascii="Times New Roman" w:cs="Times New Roman" w:eastAsia="Times New Roman" w:hAnsi="Times New Roman"/>
          <w:sz w:val="18"/>
          <w:szCs w:val="18"/>
          <w:color w:val="auto"/>
        </w:rPr>
        <w:t>were RMB47,798.4 million (US$6,548.4 million), an increase of 36% from RMB35,078.3 million in the same quarter of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mainly came from the increased fulfilment fees and payment processing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RMB37,219.5 million (US$5,099.1 million), an increase of 19% from RMB31,407.8 million in the same quarter of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the increase in sales and marketing expenses.</w:t>
      </w:r>
    </w:p>
    <w:p>
      <w:pPr>
        <w:spacing w:after="0" w:line="203" w:lineRule="exact"/>
        <w:rPr>
          <w:sz w:val="20"/>
          <w:szCs w:val="20"/>
          <w:color w:val="auto"/>
        </w:rPr>
      </w:pPr>
    </w:p>
    <w:p>
      <w:pPr>
        <w:ind w:left="440" w:hanging="432"/>
        <w:spacing w:after="0" w:line="28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RMB31,356.9 million (US$4,295.9 million), an increase of 18% from RMB26,638.5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mainly due to the increased spending in promotion and advertising activities.</w:t>
      </w:r>
    </w:p>
    <w:p>
      <w:pPr>
        <w:spacing w:after="0" w:line="154" w:lineRule="exact"/>
        <w:rPr>
          <w:rFonts w:ascii="Times New Roman" w:cs="Times New Roman" w:eastAsia="Times New Roman" w:hAnsi="Times New Roman"/>
          <w:sz w:val="18"/>
          <w:szCs w:val="18"/>
          <w:color w:val="auto"/>
        </w:rPr>
      </w:pPr>
    </w:p>
    <w:p>
      <w:pPr>
        <w:ind w:left="440" w:right="20" w:hanging="432"/>
        <w:spacing w:after="0" w:line="28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RMB2,085.4 million (US$285.7 million), compared with RMB1,904.8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4" w:lineRule="exact"/>
        <w:rPr>
          <w:rFonts w:ascii="Times New Roman" w:cs="Times New Roman" w:eastAsia="Times New Roman" w:hAnsi="Times New Roman"/>
          <w:sz w:val="18"/>
          <w:szCs w:val="18"/>
          <w:color w:val="auto"/>
        </w:rPr>
      </w:pPr>
    </w:p>
    <w:p>
      <w:pPr>
        <w:ind w:left="440" w:hanging="432"/>
        <w:spacing w:after="0" w:line="286" w:lineRule="auto"/>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RMB3,777.2 million (US$517.5 million), compared with RMB2,864.4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in the quarter was RMB25,592.2 million (US$3,506.1 million), an increase of 14% from RMB22,395.0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8"/>
          <w:szCs w:val="18"/>
          <w:b w:val="1"/>
          <w:bCs w:val="1"/>
          <w:color w:val="auto"/>
        </w:rPr>
        <w:t>Non-GAAP operating profit</w:t>
      </w:r>
      <w:r>
        <w:rPr>
          <w:rFonts w:ascii="Times New Roman" w:cs="Times New Roman" w:eastAsia="Times New Roman" w:hAnsi="Times New Roman"/>
          <w:sz w:val="18"/>
          <w:szCs w:val="18"/>
          <w:color w:val="auto"/>
        </w:rPr>
        <w:t xml:space="preserve"> in the quarter was RMB27,996.5 million (US$3,835.5 million), an increase of 14% from RMB24,579.9 million in the same quarter of 2023.</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in the quarter was RMB27,446.6 million (US$3,760.2 million), an increase of 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RMB23,280.3 million in the same quarter of 2023.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in the quarter was RMB29,850.9 million (US$4,089.6 million), an increase of 17% from RMB25,476.5 million in the same quarter of 2023.</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earnings per ADS </w:t>
      </w:r>
      <w:r>
        <w:rPr>
          <w:rFonts w:ascii="Times New Roman" w:cs="Times New Roman" w:eastAsia="Times New Roman" w:hAnsi="Times New Roman"/>
          <w:sz w:val="18"/>
          <w:szCs w:val="18"/>
          <w:color w:val="auto"/>
        </w:rPr>
        <w:t>was RMB19.76 (US$2.71) and diluted earnings per ADS was RMB18.53 (US$2.54), compared with basic earnings per ADS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RMB17.00 and diluted earnings per ADS of RMB15.83 in the same quarter of 2023. </w:t>
      </w:r>
      <w:r>
        <w:rPr>
          <w:rFonts w:ascii="Times New Roman" w:cs="Times New Roman" w:eastAsia="Times New Roman" w:hAnsi="Times New Roman"/>
          <w:sz w:val="18"/>
          <w:szCs w:val="18"/>
          <w:b w:val="1"/>
          <w:bCs w:val="1"/>
          <w:color w:val="auto"/>
        </w:rPr>
        <w:t>Non-GAAP diluted earnings per ADS</w:t>
      </w:r>
      <w:r>
        <w:rPr>
          <w:rFonts w:ascii="Times New Roman" w:cs="Times New Roman" w:eastAsia="Times New Roman" w:hAnsi="Times New Roman"/>
          <w:sz w:val="18"/>
          <w:szCs w:val="18"/>
          <w:color w:val="auto"/>
        </w:rPr>
        <w:t xml:space="preserve"> was RMB20.15 (US$2.76), compared with RMB17.32 in the same quarter of 2023.</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generated from operating activities </w:t>
      </w:r>
      <w:r>
        <w:rPr>
          <w:rFonts w:ascii="Times New Roman" w:cs="Times New Roman" w:eastAsia="Times New Roman" w:hAnsi="Times New Roman"/>
          <w:sz w:val="18"/>
          <w:szCs w:val="18"/>
          <w:color w:val="auto"/>
        </w:rPr>
        <w:t>was RMB29,547.2 million (US$4,047.9 million), compared with RMB36,890.7 million in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short-term investments </w:t>
      </w:r>
      <w:r>
        <w:rPr>
          <w:rFonts w:ascii="Times New Roman" w:cs="Times New Roman" w:eastAsia="Times New Roman" w:hAnsi="Times New Roman"/>
          <w:sz w:val="18"/>
          <w:szCs w:val="18"/>
          <w:color w:val="auto"/>
        </w:rPr>
        <w:t>were RMB331.6 billion (US$45.4 billion) as of December 31, 2024, compared with RMB217.2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December 31,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non-current assets </w:t>
      </w:r>
      <w:r>
        <w:rPr>
          <w:rFonts w:ascii="Times New Roman" w:cs="Times New Roman" w:eastAsia="Times New Roman" w:hAnsi="Times New Roman"/>
          <w:sz w:val="18"/>
          <w:szCs w:val="18"/>
          <w:color w:val="auto"/>
        </w:rPr>
        <w:t>were RMB83.4 billion (US$11.4 billion) as of December 31, 2024, compared with RMB48.0 billion as of December 31,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mainly included time deposits, held-to-maturity debt securities, and available-for-sale debt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Unaudited Financial Results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RMB393,836.1 million (US$53,955.3 million), an increase of 59% from RMB247,639.2 million in 2023. The increase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increase in revenues from online marketing services and transaction services.</w:t>
      </w:r>
    </w:p>
    <w:p>
      <w:pPr>
        <w:spacing w:after="0" w:line="155" w:lineRule="exact"/>
        <w:rPr>
          <w:sz w:val="20"/>
          <w:szCs w:val="20"/>
          <w:color w:val="auto"/>
        </w:rPr>
      </w:pPr>
    </w:p>
    <w:p>
      <w:pPr>
        <w:ind w:left="400" w:hanging="392"/>
        <w:spacing w:after="0" w:line="286"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online marketing services and others </w:t>
      </w:r>
      <w:r>
        <w:rPr>
          <w:rFonts w:ascii="Times New Roman" w:cs="Times New Roman" w:eastAsia="Times New Roman" w:hAnsi="Times New Roman"/>
          <w:sz w:val="18"/>
          <w:szCs w:val="18"/>
          <w:color w:val="auto"/>
        </w:rPr>
        <w:t>were RMB197,934.2 million (US$27,116.9 million), an increase of 29% from RMB153,540.6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2023.</w:t>
      </w:r>
    </w:p>
    <w:p>
      <w:pPr>
        <w:spacing w:after="0" w:line="1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transaction services </w:t>
      </w:r>
      <w:r>
        <w:rPr>
          <w:rFonts w:ascii="Times New Roman" w:cs="Times New Roman" w:eastAsia="Times New Roman" w:hAnsi="Times New Roman"/>
          <w:sz w:val="18"/>
          <w:szCs w:val="18"/>
          <w:color w:val="auto"/>
        </w:rPr>
        <w:t>were RMB195,901.9 million (US$26,838.5 million), an increase of 108% from RMB94,098.7 million in 2023.</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costs of revenues </w:t>
      </w:r>
      <w:r>
        <w:rPr>
          <w:rFonts w:ascii="Times New Roman" w:cs="Times New Roman" w:eastAsia="Times New Roman" w:hAnsi="Times New Roman"/>
          <w:sz w:val="18"/>
          <w:szCs w:val="18"/>
          <w:color w:val="auto"/>
        </w:rPr>
        <w:t>were RMB153,900.4 million (US$21,084.3 million), an increase of 68% from RMB91,723.6 million in 2023. The increase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 from the increased fulfilment fees and payment processing fees.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RMB131,512.9 million (US$18,017.2 million), an increase of 35% from RMB97,216.9 million in 2023.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sales and marketing expenses.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400" w:hanging="392"/>
        <w:spacing w:after="0" w:line="286"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RMB111,300.5 million (US$15,248.1 million), an increase of 35% from RMB82,188.9 million in 2023,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increased spending in promotion and advertising activities.</w:t>
      </w:r>
    </w:p>
    <w:p>
      <w:pPr>
        <w:spacing w:after="0" w:line="154" w:lineRule="exact"/>
        <w:rPr>
          <w:rFonts w:ascii="Times New Roman" w:cs="Times New Roman" w:eastAsia="Times New Roman" w:hAnsi="Times New Roman"/>
          <w:sz w:val="18"/>
          <w:szCs w:val="18"/>
          <w:color w:val="auto"/>
        </w:rPr>
      </w:pPr>
    </w:p>
    <w:p>
      <w:pPr>
        <w:ind w:left="400" w:right="20" w:hanging="392"/>
        <w:spacing w:after="0" w:line="286" w:lineRule="auto"/>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RMB7,553.0 million (US$1,034.8 million), an increase of 85% from RMB4,075.6 million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in staff related costs.</w:t>
      </w:r>
    </w:p>
    <w:p>
      <w:pPr>
        <w:spacing w:after="0" w:line="154"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RMB12,659.4 million (US$1,734.3 million), compared with RMB10,952.4 million in 2023.</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RMB108,422.9 million (US$14,853.9 million), an increase of 85% from RMB58,698.8 million in 2023.</w:t>
      </w:r>
      <w:r>
        <w:rPr>
          <w:rFonts w:ascii="Times New Roman" w:cs="Times New Roman" w:eastAsia="Times New Roman" w:hAnsi="Times New Roman"/>
          <w:sz w:val="18"/>
          <w:szCs w:val="18"/>
          <w:b w:val="1"/>
          <w:bCs w:val="1"/>
          <w:color w:val="auto"/>
        </w:rPr>
        <w:t xml:space="preserve"> Non-GAAP operating profit </w:t>
      </w:r>
      <w:r>
        <w:rPr>
          <w:rFonts w:ascii="Times New Roman" w:cs="Times New Roman" w:eastAsia="Times New Roman" w:hAnsi="Times New Roman"/>
          <w:sz w:val="18"/>
          <w:szCs w:val="18"/>
          <w:color w:val="auto"/>
        </w:rPr>
        <w:t>was RMB118,306.4 million (US$16,207.9 million), an increase of 80% from RMB65,777.6 million in 2023.</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RMB112,434.5 million (US$15,403.5 million), an increase of 87% from RMB60,026.5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18"/>
          <w:szCs w:val="18"/>
          <w:color w:val="auto"/>
        </w:rPr>
        <w:t xml:space="preserve"> was RMB122,343.6 million (US$16,761.0 million), an increase of 80% from RMB67,899.3 million in 2023.</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earnings per ADS </w:t>
      </w:r>
      <w:r>
        <w:rPr>
          <w:rFonts w:ascii="Times New Roman" w:cs="Times New Roman" w:eastAsia="Times New Roman" w:hAnsi="Times New Roman"/>
          <w:sz w:val="18"/>
          <w:szCs w:val="18"/>
          <w:color w:val="auto"/>
        </w:rPr>
        <w:t>was RMB81.24 (US$11.13) and diluted earnings per ADS was RMB76.01 (US$10.41), compared with basic earnings per 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RMB44.33 and diluted earnings per ADS of RMB41.15 in 2023. </w:t>
      </w:r>
      <w:r>
        <w:rPr>
          <w:rFonts w:ascii="Times New Roman" w:cs="Times New Roman" w:eastAsia="Times New Roman" w:hAnsi="Times New Roman"/>
          <w:sz w:val="18"/>
          <w:szCs w:val="18"/>
          <w:b w:val="1"/>
          <w:bCs w:val="1"/>
          <w:color w:val="auto"/>
        </w:rPr>
        <w:t>Non-GAAP diluted earnings per ADS</w:t>
      </w:r>
      <w:r>
        <w:rPr>
          <w:rFonts w:ascii="Times New Roman" w:cs="Times New Roman" w:eastAsia="Times New Roman" w:hAnsi="Times New Roman"/>
          <w:sz w:val="18"/>
          <w:szCs w:val="18"/>
          <w:color w:val="auto"/>
        </w:rPr>
        <w:t xml:space="preserve"> was RMB82.71 (US$11.32), compared with RMB46.51 in 2023.</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generated from operating activities </w:t>
      </w:r>
      <w:r>
        <w:rPr>
          <w:rFonts w:ascii="Times New Roman" w:cs="Times New Roman" w:eastAsia="Times New Roman" w:hAnsi="Times New Roman"/>
          <w:sz w:val="18"/>
          <w:szCs w:val="18"/>
          <w:color w:val="auto"/>
        </w:rPr>
        <w:t>was RMB121,929.3 million (US$16,704.2 million), compared with RMB94,162.5 million in 2023,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increase in net income and the changes in working capitals.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at 7:30 AM ET on March 20, 2025 (11:30 AM GMT and 7:30 PM HKT on the same day).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conference call will be webcast live at </w:t>
      </w:r>
      <w:r>
        <w:rPr>
          <w:rFonts w:ascii="Times New Roman" w:cs="Times New Roman" w:eastAsia="Times New Roman" w:hAnsi="Times New Roman"/>
          <w:sz w:val="18"/>
          <w:szCs w:val="18"/>
          <w:u w:val="single" w:color="auto"/>
          <w:color w:val="auto"/>
        </w:rPr>
        <w:t>https://investor.pddholdings.com/investor-events</w:t>
      </w:r>
      <w:r>
        <w:rPr>
          <w:rFonts w:ascii="Times New Roman" w:cs="Times New Roman" w:eastAsia="Times New Roman" w:hAnsi="Times New Roman"/>
          <w:sz w:val="18"/>
          <w:szCs w:val="18"/>
          <w:color w:val="auto"/>
        </w:rPr>
        <w:t>. The webcast will be available for replay at the same website following the conclusion of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measures, such as non-GAAP operating profit, non-GAAP net income attributable to ordinary shareholders, non-GAAP diluted earnings per ordinary share, and non-GAAP diluted earnings per ADS, as supplemental measures to review and assess operating performance. The presentation of these non-GAAP financial measures is not intended to be considered in isolation or as a substitute for the financial information prepared and presented in accordance with accounting principles generally accepted in the United States of America (“U.S. GAAP”). The Company’s non-GAAP financial measures exclude the impact of share-based compensation expenses, fair value change of certain investments, and interest expenses related to the convertible bonds’ amortization to face value.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presents these non-GAAP financial measures because they are used by management to evaluate operating performance and formulate business plans. The Company believes that the non-GAAP financial measures help identify underlying trends in its business by excluding the impact of share-based compensation expenses, fair value change of certain investments, and interest expenses related to the convertible bonds’ amortization to face value, which are non-cash charges. The Company also believes that the non-GAAP financial measures may provide further information about the Company’s results of operations, and enhance the overall understanding of the Company’s past performance and future prospects.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non-GAAP financial measures are not defined under U.S. GAAP and are not presented in accordance with U.S. GAAP. The non-GAAP financial measures have limitations as analytical tools. These non-GAAP financial measures do not reflect all items of income and expenses that affect the Company’s operations and do not represent the residual cash flow available for discretionary expenditures. Further,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performance. The Company encourages you to review the Company’s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press release.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the e-commerce markets globally and in the countries or regions where the Company has operations; changes in its revenues and certain cost or expense items; the expected growth of e-commerce markets globally and in the countries or regions where the Company has operations; developments in the relevant governmental policies and regulations relating to the Company’s industry; and general economic and business conditions globally and in the countries or regions where the Company has operations;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PDD Holdings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PDD Holdings is a multinational commerce group that owns and operates a portfolio of businesses. PDD Holdings aims to bring more businesses and people into the digital economy so that local communities and small businesses can benefit from the increased productivity and new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investor@pddholdings.com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media@pddholdings.com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8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38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78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59,794,469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57,768,053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7,914,191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61,985,436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68,426,368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9,374,374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3,914,117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3,679,309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504,063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157,415,365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273,791,856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37,509,330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7,428,070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7,569,180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1,036,973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4,213,015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4,413,466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604,643</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294,750,472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415,648,232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56,943,574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979,597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879,327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4,104,889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5,064,351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693,813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270,738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47,951,276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83,407,238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11,426,745</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53,327,648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89,386,084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12,245,843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348,078,120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505,034,316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69,189,417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Renminbi (“RMB”) and U.S. dollars (“US$”))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8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35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78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RMB</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1,238,776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801,859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 and deferred revenues</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2,144,610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2,947,041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403,743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merchants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74,997,252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91,655,947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12,556,813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55,351,399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69,141,831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9,472,391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deposits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16,878,746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16,460,600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2,255,093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bonds, current portion</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648,570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5,309,597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727,412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1,641,548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2,105,978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288,518</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152,900,901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188,422,853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25,813,824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bonds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5,231,523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2,644,260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3,191,565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437,243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106,774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7,935,612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3,298,339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160,836,513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191,721,192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26,265,695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107,293,091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117,829,308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16,142,549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105,982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4,723,760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7,824,545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1,071,958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75,118,597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187,421,411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25,676,628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187,241,607</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313,313,124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42,923,722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348,078,120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505,034,316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69,189,417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4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39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5"/>
                <w:szCs w:val="15"/>
                <w:color w:val="auto"/>
              </w:rPr>
            </w:pPr>
          </w:p>
        </w:tc>
      </w:tr>
      <w:tr>
        <w:trPr>
          <w:trHeight w:val="215"/>
        </w:trPr>
        <w:tc>
          <w:tcPr>
            <w:tcW w:w="39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20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88,881,036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110,610,106</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15,153,522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247,639,205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393,836,097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53,955,324</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Costs of revenues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(35,078,272)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(47,798,376)</w:t>
            </w:r>
          </w:p>
        </w:tc>
        <w:tc>
          <w:tcPr>
            <w:tcW w:w="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(6,548,351)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(91,723,577)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(153,900,374)</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(21,084,265)</w:t>
            </w:r>
          </w:p>
        </w:tc>
      </w:tr>
      <w:tr>
        <w:trPr>
          <w:trHeight w:val="203"/>
        </w:trPr>
        <w:tc>
          <w:tcPr>
            <w:tcW w:w="3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(26,638,524)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(31,356,941)</w:t>
            </w:r>
          </w:p>
        </w:tc>
        <w:tc>
          <w:tcPr>
            <w:tcW w:w="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(4,295,883)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(82,188,870)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(111,300,533)</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(15,248,111)</w:t>
            </w: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(1,904,842)</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(2,085,396)</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(285,698)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(4,075,622)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(7,552,967)</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(1,034,752)</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(2,864,430)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(3,777,178)</w:t>
            </w:r>
          </w:p>
        </w:tc>
        <w:tc>
          <w:tcPr>
            <w:tcW w:w="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(517,471)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(10,952,374)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(12,659,361)</w:t>
            </w: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(1,734,325)</w:t>
            </w:r>
          </w:p>
        </w:tc>
      </w:tr>
      <w:tr>
        <w:trPr>
          <w:trHeight w:val="19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(31,407,796)</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(37,219,515)</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(5,099,052)</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(97,216,866)</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(131,512,861)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(18,017,188)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22,394,968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25,592,215</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3,506,119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58,698,762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108,422,862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14,853,871</w:t>
            </w:r>
          </w:p>
        </w:tc>
      </w:t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investment income, net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4,359,384</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5,233,232</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716,950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10,238,080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20,553,493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2,815,817</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(8,155)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(43,987)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(loss)/gain</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(198,819)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860,526</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117,892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35,721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587,866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80,537</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328,204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726,735</w:t>
            </w:r>
          </w:p>
        </w:tc>
        <w:tc>
          <w:tcPr>
            <w:tcW w:w="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99,562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2,952,579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3,119,847</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427,417</w:t>
            </w:r>
          </w:p>
        </w:tc>
      </w:tr>
      <w:tr>
        <w:trPr>
          <w:trHeight w:val="199"/>
        </w:trPr>
        <w:tc>
          <w:tcPr>
            <w:tcW w:w="39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80" w:hanging="161"/>
        <w:spacing w:after="0" w:line="260" w:lineRule="auto"/>
        <w:rPr>
          <w:sz w:val="20"/>
          <w:szCs w:val="20"/>
          <w:color w:val="auto"/>
        </w:rPr>
      </w:pPr>
      <w:r>
        <w:rPr>
          <w:rFonts w:ascii="Times New Roman" w:cs="Times New Roman" w:eastAsia="Times New Roman" w:hAnsi="Times New Roman"/>
          <w:sz w:val="16"/>
          <w:szCs w:val="16"/>
          <w:b w:val="1"/>
          <w:bCs w:val="1"/>
          <w:color w:val="auto"/>
        </w:rPr>
        <w:t>Profit before income tax and share of results of equity investees</w:t>
      </w:r>
    </w:p>
    <w:p>
      <w:pPr>
        <w:ind w:right="1440"/>
        <w:spacing w:after="0" w:line="266" w:lineRule="auto"/>
        <w:rPr>
          <w:sz w:val="20"/>
          <w:szCs w:val="20"/>
          <w:color w:val="auto"/>
        </w:rPr>
      </w:pPr>
      <w:r>
        <w:rPr>
          <w:rFonts w:ascii="Times New Roman" w:cs="Times New Roman" w:eastAsia="Times New Roman" w:hAnsi="Times New Roman"/>
          <w:sz w:val="16"/>
          <w:szCs w:val="16"/>
          <w:color w:val="auto"/>
        </w:rPr>
        <w:t>Share of results of equity investees Income tax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26,875,582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32,412,708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4,440,523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71,881,155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132,684,068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18,177,642</w:t>
            </w:r>
          </w:p>
        </w:tc>
        <w:tc>
          <w:tcPr>
            <w:tcW w:w="40" w:type="dxa"/>
            <w:vAlign w:val="bottom"/>
          </w:tcPr>
          <w:p>
            <w:pPr>
              <w:spacing w:after="0"/>
              <w:rPr>
                <w:sz w:val="17"/>
                <w:szCs w:val="17"/>
                <w:color w:val="auto"/>
              </w:rPr>
            </w:pPr>
          </w:p>
        </w:tc>
      </w:tr>
      <w:tr>
        <w:trPr>
          <w:trHeight w:val="203"/>
        </w:trPr>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(15,066)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116,725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15,991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(4,707)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17,225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40" w:type="dxa"/>
            <w:vAlign w:val="bottom"/>
          </w:tcPr>
          <w:p>
            <w:pPr>
              <w:spacing w:after="0"/>
              <w:rPr>
                <w:sz w:val="17"/>
                <w:szCs w:val="17"/>
                <w:color w:val="auto"/>
              </w:rPr>
            </w:pPr>
          </w:p>
        </w:tc>
      </w:tr>
      <w:tr>
        <w:trPr>
          <w:trHeight w:val="227"/>
        </w:trPr>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(3,580,207)</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(5,082,796)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(696,340)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(11,849,904)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(20,266,781)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(2,776,538)</w:t>
            </w:r>
          </w:p>
        </w:tc>
      </w:tr>
      <w:tr>
        <w:trPr>
          <w:trHeight w:val="211"/>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23,280,309</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27,446,637</w:t>
            </w:r>
          </w:p>
        </w:tc>
        <w:tc>
          <w:tcPr>
            <w:tcW w:w="2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3,760,174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60,026,544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112,434,512</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15,403,464</w:t>
            </w:r>
          </w:p>
        </w:tc>
        <w:tc>
          <w:tcPr>
            <w:tcW w:w="40" w:type="dxa"/>
            <w:vAlign w:val="bottom"/>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-436245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-170815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220"/>
            <w:col w:w="7300"/>
          </w:cols>
          <w:pgMar w:left="320" w:top="931" w:right="339" w:bottom="1440" w:gutter="0" w:footer="0" w:header="0"/>
          <w:type w:val="continuous"/>
        </w:sect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54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39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5"/>
                <w:szCs w:val="15"/>
                <w:color w:val="auto"/>
              </w:rPr>
            </w:pPr>
          </w:p>
        </w:tc>
      </w:tr>
      <w:tr>
        <w:trPr>
          <w:trHeight w:val="215"/>
        </w:trPr>
        <w:tc>
          <w:tcPr>
            <w:tcW w:w="39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21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23,280,309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27,446,637</w:t>
            </w:r>
          </w:p>
        </w:tc>
        <w:tc>
          <w:tcPr>
            <w:tcW w:w="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3,760,174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60,026,544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112,434,512</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15,403,464</w:t>
            </w:r>
          </w:p>
        </w:tc>
      </w:tr>
      <w:tr>
        <w:trPr>
          <w:trHeight w:val="248"/>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ordinary shareholders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23,280,309</w:t>
            </w:r>
          </w:p>
        </w:tc>
        <w:tc>
          <w:tcPr>
            <w:tcW w:w="2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27,446,637</w:t>
            </w:r>
          </w:p>
        </w:tc>
        <w:tc>
          <w:tcPr>
            <w:tcW w:w="2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w w:val="96"/>
              </w:rPr>
              <w:t>3,760,174</w:t>
            </w:r>
          </w:p>
        </w:tc>
        <w:tc>
          <w:tcPr>
            <w:tcW w:w="2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60,026,544</w:t>
            </w:r>
          </w:p>
        </w:tc>
        <w:tc>
          <w:tcPr>
            <w:tcW w:w="2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112,434,512</w:t>
            </w:r>
          </w:p>
        </w:tc>
        <w:tc>
          <w:tcPr>
            <w:tcW w:w="22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15,403,464</w:t>
            </w:r>
          </w:p>
        </w:tc>
        <w:tc>
          <w:tcPr>
            <w:tcW w:w="100" w:type="dxa"/>
            <w:vAlign w:val="bottom"/>
            <w:tcBorders>
              <w:bottom w:val="single" w:sz="8" w:color="CCEEFF"/>
            </w:tcBorders>
          </w:tcPr>
          <w:p>
            <w:pPr>
              <w:spacing w:after="0"/>
              <w:rPr>
                <w:sz w:val="21"/>
                <w:szCs w:val="21"/>
                <w:color w:val="auto"/>
              </w:rPr>
            </w:pPr>
          </w:p>
        </w:tc>
      </w:tr>
      <w:tr>
        <w:trPr>
          <w:trHeight w:val="185"/>
        </w:trPr>
        <w:tc>
          <w:tcPr>
            <w:tcW w:w="39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4.25</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20.31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w:t>
            </w:r>
          </w:p>
        </w:tc>
      </w:tr>
      <w:tr>
        <w:trPr>
          <w:trHeight w:val="203"/>
        </w:trPr>
        <w:tc>
          <w:tcPr>
            <w:tcW w:w="3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0.63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19.00</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w:t>
            </w:r>
          </w:p>
        </w:tc>
      </w:tr>
      <w:tr>
        <w:trPr>
          <w:trHeight w:val="202"/>
        </w:trPr>
        <w:tc>
          <w:tcPr>
            <w:tcW w:w="3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ADS (4 ordinary shares equals 1 ADS):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19.76</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81.24</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11.13</w:t>
            </w:r>
          </w:p>
        </w:tc>
      </w:tr>
      <w:tr>
        <w:trPr>
          <w:trHeight w:val="203"/>
        </w:trPr>
        <w:tc>
          <w:tcPr>
            <w:tcW w:w="3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15.83</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18.53</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76.01</w:t>
            </w:r>
          </w:p>
        </w:tc>
        <w:tc>
          <w:tcPr>
            <w:tcW w:w="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10.41</w:t>
            </w:r>
          </w:p>
        </w:tc>
      </w:tr>
      <w:tr>
        <w:trPr>
          <w:trHeight w:val="203"/>
        </w:trPr>
        <w:tc>
          <w:tcPr>
            <w:tcW w:w="3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7"/>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Weighted-average number of outstanding ordinary</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5,478,111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5,556,776</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5,556,776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5,416,106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5,536,049</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5,536,049</w:t>
            </w:r>
          </w:p>
        </w:tc>
      </w:tr>
      <w:tr>
        <w:trPr>
          <w:trHeight w:val="210"/>
        </w:trPr>
        <w:tc>
          <w:tcPr>
            <w:tcW w:w="3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5,882,980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5,925,278</w:t>
            </w:r>
          </w:p>
        </w:tc>
        <w:tc>
          <w:tcPr>
            <w:tcW w:w="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5,925,278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5,839,630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5,916,592</w:t>
            </w:r>
          </w:p>
        </w:tc>
        <w:tc>
          <w:tcPr>
            <w:tcW w:w="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5,916,592</w:t>
            </w:r>
          </w:p>
        </w:tc>
      </w:tr>
    </w:tbl>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8" w:lineRule="exact"/>
        <w:rPr>
          <w:sz w:val="20"/>
          <w:szCs w:val="20"/>
          <w:color w:val="auto"/>
        </w:rPr>
      </w:pPr>
    </w:p>
    <w:p>
      <w:pPr>
        <w:ind w:left="140" w:hanging="92"/>
        <w:spacing w:after="0"/>
        <w:tabs>
          <w:tab w:leader="none" w:pos="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Online marketing services and others</w:t>
      </w:r>
    </w:p>
    <w:p>
      <w:pPr>
        <w:spacing w:after="0" w:line="18" w:lineRule="exact"/>
        <w:rPr>
          <w:rFonts w:ascii="Times New Roman" w:cs="Times New Roman" w:eastAsia="Times New Roman" w:hAnsi="Times New Roman"/>
          <w:sz w:val="16"/>
          <w:szCs w:val="16"/>
          <w:color w:val="auto"/>
        </w:rPr>
      </w:pPr>
    </w:p>
    <w:p>
      <w:pPr>
        <w:ind w:left="140" w:hanging="92"/>
        <w:spacing w:after="0"/>
        <w:tabs>
          <w:tab w:leader="none" w:pos="1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services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46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4"/>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0" w:type="dxa"/>
            <w:vAlign w:val="bottom"/>
          </w:tcPr>
          <w:p>
            <w:pPr>
              <w:spacing w:after="0"/>
              <w:rPr>
                <w:sz w:val="15"/>
                <w:szCs w:val="15"/>
                <w:color w:val="auto"/>
              </w:rPr>
            </w:pPr>
          </w:p>
        </w:tc>
      </w:tr>
      <w:tr>
        <w:trPr>
          <w:trHeight w:val="212"/>
        </w:trPr>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405"/>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48,675,618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57,011,061</w:t>
            </w:r>
          </w:p>
        </w:tc>
        <w:tc>
          <w:tcPr>
            <w:tcW w:w="6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7,810,483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153,540,553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197,934,192</w:t>
            </w:r>
          </w:p>
        </w:tc>
        <w:tc>
          <w:tcPr>
            <w:tcW w:w="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27,116,873</w:t>
            </w:r>
          </w:p>
        </w:tc>
      </w:tr>
      <w:tr>
        <w:trPr>
          <w:trHeight w:val="21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40,205,418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53,599,045</w:t>
            </w:r>
          </w:p>
        </w:tc>
        <w:tc>
          <w:tcPr>
            <w:tcW w:w="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7,343,039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94,098,652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195,901,905</w:t>
            </w: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26,838,451</w:t>
            </w:r>
          </w:p>
        </w:tc>
        <w:tc>
          <w:tcPr>
            <w:tcW w:w="20" w:type="dxa"/>
            <w:vAlign w:val="bottom"/>
          </w:tcPr>
          <w:p>
            <w:pPr>
              <w:spacing w:after="0"/>
              <w:rPr>
                <w:sz w:val="19"/>
                <w:szCs w:val="19"/>
                <w:color w:val="auto"/>
              </w:rPr>
            </w:pPr>
          </w:p>
        </w:tc>
      </w:tr>
      <w:tr>
        <w:trPr>
          <w:trHeight w:val="211"/>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88,881,036</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110,610,106</w:t>
            </w:r>
          </w:p>
        </w:tc>
        <w:tc>
          <w:tcPr>
            <w:tcW w:w="2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15,153,522</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247,639,205</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393,836,097</w:t>
            </w: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53,955,324</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-565150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-307975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20" w:space="720"/>
            <w:col w:w="7200"/>
          </w:cols>
          <w:pgMar w:left="320" w:top="904" w:right="4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compensation expenses included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of revenues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Sales and marketing expenses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NOTES TO FINANCIAL INFORMATION</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460" w:type="dxa"/>
            <w:vAlign w:val="bottom"/>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4"/>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0" w:type="dxa"/>
            <w:vAlign w:val="bottom"/>
          </w:tcPr>
          <w:p>
            <w:pPr>
              <w:spacing w:after="0"/>
              <w:rPr>
                <w:sz w:val="15"/>
                <w:szCs w:val="15"/>
                <w:color w:val="auto"/>
              </w:rPr>
            </w:pPr>
          </w:p>
        </w:tc>
      </w:tr>
      <w:tr>
        <w:trPr>
          <w:trHeight w:val="212"/>
        </w:trPr>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397"/>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46,404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312,776</w:t>
            </w:r>
          </w:p>
        </w:tc>
        <w:tc>
          <w:tcPr>
            <w:tcW w:w="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42,850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132,470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412,721</w:t>
            </w:r>
          </w:p>
        </w:tc>
        <w:tc>
          <w:tcPr>
            <w:tcW w:w="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56,543</w:t>
            </w:r>
          </w:p>
        </w:tc>
      </w:tr>
      <w:tr>
        <w:trPr>
          <w:trHeight w:val="203"/>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411,048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256,314</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35,115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2,354,097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2,216,792</w:t>
            </w:r>
          </w:p>
        </w:tc>
        <w:tc>
          <w:tcPr>
            <w:tcW w:w="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303,699</w:t>
            </w:r>
          </w:p>
        </w:tc>
      </w:tr>
      <w:tr>
        <w:trPr>
          <w:trHeight w:val="21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1,230,358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1,087,472</w:t>
            </w:r>
          </w:p>
        </w:tc>
        <w:tc>
          <w:tcPr>
            <w:tcW w:w="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148,983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2,289,272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4,742,816</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649,763</w:t>
            </w:r>
          </w:p>
        </w:tc>
      </w:tr>
      <w:tr>
        <w:trPr>
          <w:trHeight w:val="21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497,134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747,693</w:t>
            </w:r>
          </w:p>
        </w:tc>
        <w:tc>
          <w:tcPr>
            <w:tcW w:w="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102,434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2,302,955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2,511,235</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344,038</w:t>
            </w:r>
          </w:p>
        </w:tc>
      </w:tr>
      <w:tr>
        <w:trPr>
          <w:trHeight w:val="211"/>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2,184,944</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2,404,255</w:t>
            </w:r>
          </w:p>
        </w:tc>
        <w:tc>
          <w:tcPr>
            <w:tcW w:w="2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329,382</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7,078,794</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9,883,564</w:t>
            </w:r>
          </w:p>
        </w:tc>
        <w:tc>
          <w:tcPr>
            <w:tcW w:w="2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1,354,043</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-822325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-565150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-307975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360" w:space="580"/>
            <w:col w:w="7200"/>
          </w:cols>
          <w:pgMar w:left="320" w:top="904"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54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39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gridSpan w:val="2"/>
          </w:tcPr>
          <w:p>
            <w:pPr>
              <w:spacing w:after="0"/>
              <w:rPr>
                <w:sz w:val="15"/>
                <w:szCs w:val="15"/>
                <w:color w:val="auto"/>
              </w:rPr>
            </w:pPr>
          </w:p>
        </w:tc>
      </w:tr>
      <w:tr>
        <w:trPr>
          <w:trHeight w:val="215"/>
        </w:trPr>
        <w:tc>
          <w:tcPr>
            <w:tcW w:w="39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(Unaudited)</w:t>
            </w:r>
          </w:p>
        </w:tc>
      </w:tr>
      <w:tr>
        <w:trPr>
          <w:trHeight w:val="20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 operating activities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36,890,671</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29,547,160</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4,047,944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94,162,531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121,929,292</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16,704,245</w:t>
            </w:r>
          </w:p>
        </w:tc>
        <w:tc>
          <w:tcPr>
            <w:tcW w:w="80" w:type="dxa"/>
            <w:vAlign w:val="bottom"/>
            <w:shd w:val="clear" w:color="auto" w:fill="CCEEFF"/>
          </w:tcPr>
          <w:p>
            <w:pPr>
              <w:spacing w:after="0"/>
              <w:rPr>
                <w:sz w:val="17"/>
                <w:szCs w:val="17"/>
                <w:color w:val="auto"/>
              </w:rPr>
            </w:pP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(16,470,671)</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(30,545,257)</w:t>
            </w:r>
          </w:p>
        </w:tc>
        <w:tc>
          <w:tcPr>
            <w:tcW w:w="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(4,184,683)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(55,431,278)</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(118,356,036)</w:t>
            </w:r>
          </w:p>
        </w:tc>
        <w:tc>
          <w:tcPr>
            <w:tcW w:w="60" w:type="dxa"/>
            <w:vAlign w:val="bottom"/>
          </w:tcPr>
          <w:p>
            <w:pPr>
              <w:spacing w:after="0"/>
              <w:rPr>
                <w:sz w:val="17"/>
                <w:szCs w:val="17"/>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(16,214,711)</w:t>
            </w: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in)/generated from financing activities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(8,968,297)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(8,960,626)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1,164</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7"/>
                <w:szCs w:val="17"/>
                <w:color w:val="auto"/>
              </w:rPr>
            </w:pPr>
          </w:p>
        </w:tc>
      </w:tr>
      <w:tr>
        <w:trPr>
          <w:trHeight w:val="189"/>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restricted cash</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(1,025,057)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1,503,749</w:t>
            </w:r>
          </w:p>
        </w:tc>
        <w:tc>
          <w:tcPr>
            <w:tcW w:w="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206,013</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(291,139)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840,096</w:t>
            </w:r>
          </w:p>
        </w:tc>
        <w:tc>
          <w:tcPr>
            <w:tcW w:w="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115,093</w:t>
            </w:r>
          </w:p>
        </w:tc>
      </w:tr>
      <w:tr>
        <w:trPr>
          <w:trHeight w:val="199"/>
        </w:trPr>
        <w:tc>
          <w:tcPr>
            <w:tcW w:w="39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10,426,646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505,926</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69,312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29,479,488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4,414,516</w:t>
            </w:r>
          </w:p>
        </w:tc>
        <w:tc>
          <w:tcPr>
            <w:tcW w:w="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604,786</w:t>
            </w:r>
          </w:p>
        </w:tc>
        <w:tc>
          <w:tcPr>
            <w:tcW w:w="80" w:type="dxa"/>
            <w:vAlign w:val="bottom"/>
          </w:tcPr>
          <w:p>
            <w:pPr>
              <w:spacing w:after="0"/>
              <w:rPr>
                <w:sz w:val="17"/>
                <w:szCs w:val="17"/>
                <w:color w:val="auto"/>
              </w:rPr>
            </w:pPr>
          </w:p>
        </w:tc>
      </w:tr>
      <w:tr>
        <w:trPr>
          <w:trHeight w:val="18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2"/>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 period/year</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111,353,259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125,688,495</w:t>
            </w:r>
          </w:p>
        </w:tc>
        <w:tc>
          <w:tcPr>
            <w:tcW w:w="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17,219,253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92,300,417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121,779,905</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16,683,779</w:t>
            </w:r>
          </w:p>
        </w:tc>
        <w:tc>
          <w:tcPr>
            <w:tcW w:w="80" w:type="dxa"/>
            <w:vAlign w:val="bottom"/>
            <w:shd w:val="clear" w:color="auto" w:fill="CCEEFF"/>
          </w:tcPr>
          <w:p>
            <w:pPr>
              <w:spacing w:after="0"/>
              <w:rPr>
                <w:sz w:val="20"/>
                <w:szCs w:val="20"/>
                <w:color w:val="auto"/>
              </w:rPr>
            </w:pPr>
          </w:p>
        </w:tc>
      </w:tr>
      <w:tr>
        <w:trPr>
          <w:trHeight w:val="167"/>
        </w:trPr>
        <w:tc>
          <w:tcPr>
            <w:tcW w:w="39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end of</w:t>
            </w: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2"/>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period/year</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121,779,905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126,194,421</w:t>
            </w:r>
          </w:p>
        </w:tc>
        <w:tc>
          <w:tcPr>
            <w:tcW w:w="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17,288,565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121,779,905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126,194,421</w:t>
            </w:r>
          </w:p>
        </w:tc>
        <w:tc>
          <w:tcPr>
            <w:tcW w:w="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17,288,565</w:t>
            </w:r>
          </w:p>
        </w:tc>
        <w:tc>
          <w:tcPr>
            <w:tcW w:w="8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PDD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of RMB and US$, except for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760" w:type="dxa"/>
            <w:vAlign w:val="bottom"/>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December 31,</w:t>
            </w:r>
          </w:p>
        </w:tc>
        <w:tc>
          <w:tcPr>
            <w:tcW w:w="3540" w:type="dxa"/>
            <w:vAlign w:val="bottom"/>
            <w:gridSpan w:val="8"/>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4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US$</w:t>
            </w:r>
          </w:p>
        </w:tc>
        <w:tc>
          <w:tcPr>
            <w:tcW w:w="220" w:type="dxa"/>
            <w:vAlign w:val="bottom"/>
          </w:tcPr>
          <w:p>
            <w:pPr>
              <w:spacing w:after="0"/>
              <w:rPr>
                <w:sz w:val="15"/>
                <w:szCs w:val="15"/>
                <w:color w:val="auto"/>
              </w:rPr>
            </w:pPr>
          </w:p>
        </w:tc>
        <w:tc>
          <w:tcPr>
            <w:tcW w:w="10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RMB</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22,394,968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25,592,215</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3,506,119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58,698,762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108,422,862</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14,853,871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2,184,944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2,404,255</w:t>
            </w:r>
          </w:p>
        </w:tc>
        <w:tc>
          <w:tcPr>
            <w:tcW w:w="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329,382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7,078,794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9,883,564</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1,354,043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operating profit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24,579,912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27,996,470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3,835,501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65,777,556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118,306,426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16,207,914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ordinary shareholders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23,280,309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27,446,637</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3,760,174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60,026,544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112,434,512</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15,403,464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2,184,944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2,404,255</w:t>
            </w:r>
          </w:p>
        </w:tc>
        <w:tc>
          <w:tcPr>
            <w:tcW w:w="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329,382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7,078,794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9,883,564</w:t>
            </w:r>
          </w:p>
        </w:tc>
        <w:tc>
          <w:tcPr>
            <w:tcW w:w="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1,354,043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Interest expenses related to convertible bonds’</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to face value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8,155</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43,987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Add: Loss from fair value change of certain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3,052</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749,967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25,485</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9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Non-GAAP net income attributable to ordinary</w:t>
            </w:r>
          </w:p>
        </w:tc>
        <w:tc>
          <w:tcPr>
            <w:tcW w:w="10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25,476,460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29,850,921</w:t>
            </w:r>
          </w:p>
        </w:tc>
        <w:tc>
          <w:tcPr>
            <w:tcW w:w="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4,089,560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67,899,292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122,343,561</w:t>
            </w:r>
          </w:p>
        </w:tc>
        <w:tc>
          <w:tcPr>
            <w:tcW w:w="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16,760,998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weighted-average number of ordinary</w:t>
            </w: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(in thousands)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5,882,980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5,925,278</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5,925,278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5,839,630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5,916,592</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5,916,592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ordinary share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Add: Non-GAAP adjustments to earnings per ordinary</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0.37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0.41</w:t>
            </w:r>
          </w:p>
        </w:tc>
        <w:tc>
          <w:tcPr>
            <w:tcW w:w="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w:t>
            </w:r>
          </w:p>
        </w:tc>
        <w:tc>
          <w:tcPr>
            <w:tcW w:w="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per ordinary share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Non-GAAP diluted earnings per ADS</w:t>
            </w: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24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220" w:type="dxa"/>
            <w:vAlign w:val="bottom"/>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82.71</w:t>
            </w:r>
          </w:p>
        </w:tc>
        <w:tc>
          <w:tcPr>
            <w:tcW w:w="220" w:type="dxa"/>
            <w:vAlign w:val="bottom"/>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2025-03-20T15:10:30Z</dcterms:created>
  <dcterms:modified xsi:type="dcterms:W3CDTF">2025-03-20T15:10:30Z</dcterms:modified>
</cp:coreProperties>
</file>