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3874d1_6k.htm"/>
      <w:bookmarkStart w:id="1" w:name="kstm2623874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001-38591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PDD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Floor, 25 St Stephen’s Green,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Dublin 2, D02 XF99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Ireland</w:t>
        <w:b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3874d1_ex99-1.htm">
        <w:r>
          <w:rPr>
            <w:rStyle w:val="InternetLink"/>
            <w:rFonts w:ascii="Times New Roman;Times;Serif" w:hAnsi="Times New Roman;Times;Serif"/>
            <w:b w:val="false"/>
            <w:i w:val="false"/>
            <w:caps w:val="false"/>
            <w:smallCaps w:val="false"/>
            <w:sz w:val="20"/>
          </w:rPr>
          <w:t>Exhibit 99.1—Press Release (Earnings Release)</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03" w:type="dxa"/>
        <w:jc w:val="left"/>
        <w:tblInd w:w="0" w:type="dxa"/>
        <w:tblLayout w:type="fixed"/>
        <w:tblCellMar>
          <w:top w:w="0" w:type="dxa"/>
          <w:left w:w="0" w:type="dxa"/>
          <w:bottom w:w="0" w:type="dxa"/>
          <w:right w:w="0" w:type="dxa"/>
        </w:tblCellMar>
      </w:tblPr>
      <w:tblGrid>
        <w:gridCol w:w="38"/>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both"/>
              <w:rPr>
                <w:b/>
              </w:rPr>
            </w:pPr>
            <w:r>
              <w:rPr>
                <w:b/>
              </w:rPr>
              <w:t>PDD HOLDINGS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75"/>
        <w:gridCol w:w="590"/>
        <w:gridCol w:w="80"/>
        <w:gridCol w:w="684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45" w:type="dxa"/>
            <w:tcBorders>
              <w:bottom w:val="single" w:sz="8" w:space="0" w:color="000000"/>
            </w:tcBorders>
            <w:tcMar>
              <w:bottom w:w="28" w:type="dxa"/>
            </w:tcMar>
            <w:vAlign w:val="center"/>
          </w:tcPr>
          <w:p>
            <w:pPr>
              <w:pStyle w:val="TableContents"/>
              <w:bidi w:val="0"/>
              <w:spacing w:before="0" w:after="283"/>
              <w:jc w:val="left"/>
              <w:rPr/>
            </w:pPr>
            <w:r>
              <w:rPr/>
              <w:t>/s/ Lei Chen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Lei Chen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Co-Chairman of the Board of Directors and Co-Chief Executive Officer</w:t>
            </w:r>
          </w:p>
        </w:tc>
      </w:tr>
    </w:tbl>
    <w:p>
      <w:pPr>
        <w:pStyle w:val="TextBody"/>
        <w:bidi w:val="0"/>
        <w:spacing w:before="0" w:after="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75"/>
        <w:gridCol w:w="590"/>
        <w:gridCol w:w="80"/>
        <w:gridCol w:w="684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45" w:type="dxa"/>
            <w:tcBorders>
              <w:bottom w:val="single" w:sz="8" w:space="0" w:color="000000"/>
            </w:tcBorders>
            <w:tcMar>
              <w:bottom w:w="28" w:type="dxa"/>
            </w:tcMar>
            <w:vAlign w:val="center"/>
          </w:tcPr>
          <w:p>
            <w:pPr>
              <w:pStyle w:val="TableContents"/>
              <w:bidi w:val="0"/>
              <w:spacing w:before="0" w:after="283"/>
              <w:jc w:val="left"/>
              <w:rPr/>
            </w:pPr>
            <w:r>
              <w:rPr/>
              <w:t>/s/ Jiazhen Zhao</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Jiazhen Zhao</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Co-Chairman of the Board of Directors and Co-Chief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bookmarkStart w:id="2" w:name="tm2623874d1_ex99-1.htm"/>
      <w:bookmarkStart w:id="3" w:name="kstm2623874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PDD Holdings Announces Second Quarter 2026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DUBLIN and SHANGHAI, Aug. 24, 2026 (GLOBE NEWSWIRE) – PDD Holdings Inc. (“PDD Holdings” or the “Company”) (NASDAQ: PDD),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Quarter 2026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sz w:val="20"/>
              </w:rPr>
              <w:t xml:space="preserve">Total revenues </w:t>
            </w:r>
            <w:r>
              <w:rPr>
                <w:sz w:val="20"/>
              </w:rPr>
              <w:t>in the quarter were RMB</w:t>
            </w:r>
            <w:r>
              <w:rPr/>
              <w:t>112.4 billion (US$</w:t>
            </w:r>
            <w:r>
              <w:rPr>
                <w:position w:val="7"/>
                <w:sz w:val="16"/>
                <w:sz w:val="20"/>
              </w:rPr>
              <w:t>1</w:t>
            </w:r>
            <w:r>
              <w:rPr/>
              <w:t>16.6 billion), an increase of 8% from RMB104.0 billion in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sz w:val="20"/>
              </w:rPr>
              <w:t xml:space="preserve">Operating profit </w:t>
            </w:r>
            <w:r>
              <w:rPr>
                <w:sz w:val="20"/>
              </w:rPr>
              <w:t>in the quarter was RMB</w:t>
            </w:r>
            <w:r>
              <w:rPr/>
              <w:t xml:space="preserve">27.8 billion (US$4.1 billion), an increase of 8% from RMB25.8 billion in the same quarter of 2025. </w:t>
            </w:r>
            <w:r>
              <w:rPr>
                <w:b/>
              </w:rPr>
              <w:t>Non-GAAP</w:t>
            </w:r>
            <w:r>
              <w:rPr>
                <w:b/>
                <w:position w:val="7"/>
                <w:sz w:val="16"/>
                <w:sz w:val="20"/>
              </w:rPr>
              <w:t>2</w:t>
            </w:r>
            <w:r>
              <w:rPr>
                <w:b/>
              </w:rPr>
              <w:t xml:space="preserve"> operating profit</w:t>
            </w:r>
            <w:r>
              <w:rPr/>
              <w:t xml:space="preserve"> in the quarter was RMB29.1 billion (US$4.3 billion), an increase of 5% from RMB27.7 billion in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sz w:val="20"/>
              </w:rPr>
              <w:t xml:space="preserve">Net income attributable to ordinary shareholders </w:t>
            </w:r>
            <w:r>
              <w:rPr>
                <w:sz w:val="20"/>
              </w:rPr>
              <w:t>in the quarter was RMB</w:t>
            </w:r>
            <w:r>
              <w:rPr/>
              <w:t xml:space="preserve">27.2 billion (US$4.0 billion), a decrease of 12% from RMB30.8 billion in the same quarter of 2025. </w:t>
            </w:r>
            <w:r>
              <w:rPr>
                <w:b/>
              </w:rPr>
              <w:t>Non-GAAP net income attributable to ordinary shareholders</w:t>
            </w:r>
            <w:r>
              <w:rPr/>
              <w:t xml:space="preserve"> in the quarter was RMB28.5 billion (US$4.2 billion), a decrease of 13% from RMB32.7 billion in the same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Since the start of the year, global trade and regulatory landscapes have continued to evolve, creating significant challenges while also presenting new opportunities,” said Mr. Lei Chen, Co-Chairman and Co-Chief Executive Officer of PDD Holdings. “We feel a strong sense of responsibility that comes with our unique position in global trade and will work diligently to build a trustworthy platform that consumers can rely on over the long run.”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first half of the year, we continued to strengthen ecosystem governance within our daily operations, rolling out targeted trust and safety initiatives across categories,” said Mr. Jiazhen Zhao, Co-Chairman and Co-Chief Executive Officer of PDD Holdings. “We view compliance as a fundamental priority and are fully committed to safeguarding consumer rights and building lasting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stepped up our ecosystem investments in the second quarter,” said Ms. Jun Liu, VP of Finance of PDD Holdings. “At this stage, our priority is helping merchants thrive and strengthening the broader industry ecosystem. We will continue to focus on these fundamentals to drive the platform’s sustainable development over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This announcement contains translations of certain Renminbi (“RMB”) amounts into U.S. dollars (“US$”) at a specified rate solely for the convenience of the reader. Unless otherwise noted, the translation of RMB into US$ has been made at RMB6.7851 to US$1.00, the noon buying rate in effect on June 30, 2026 as set forth in the H.10 Statistical Release of the Federal Reserve Board.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Company’s non-GAAP financial measures exclude share-based compensation expenses. See “Reconciliation of Non-GAAP Measures to the Most Directly Comparable GAAP Measures”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Quarter 2026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revenues </w:t>
      </w:r>
      <w:r>
        <w:rPr>
          <w:rFonts w:ascii="Times New Roman;Times;Serif" w:hAnsi="Times New Roman;Times;Serif"/>
          <w:b w:val="false"/>
          <w:i w:val="false"/>
          <w:caps w:val="false"/>
          <w:smallCaps w:val="false"/>
          <w:sz w:val="20"/>
        </w:rPr>
        <w:t>were RMB112.4 billion (US$16.6 billion), an increase of 8% from RMB104.0 billion in the same quarter of 2025. The increase was primarily due to the increase in revenues from transaction services.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sz w:val="20"/>
              </w:rPr>
              <w:t xml:space="preserve">Revenues from online marketing services and others </w:t>
            </w:r>
            <w:r>
              <w:rPr>
                <w:sz w:val="20"/>
              </w:rPr>
              <w:t>were RMB</w:t>
            </w:r>
            <w:r>
              <w:rPr/>
              <w:t>57.6 billion (US$8.5 billion), compared with RMB55.7 billion in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sz w:val="20"/>
              </w:rPr>
              <w:t xml:space="preserve">Revenues from transaction services </w:t>
            </w:r>
            <w:r>
              <w:rPr>
                <w:sz w:val="20"/>
              </w:rPr>
              <w:t>were RMB</w:t>
            </w:r>
            <w:r>
              <w:rPr/>
              <w:t>54.7 billion (US$8.1 billion), an increase of 13% from RMB48.3 billion in the same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costs of revenues </w:t>
      </w:r>
      <w:r>
        <w:rPr>
          <w:rFonts w:ascii="Times New Roman;Times;Serif" w:hAnsi="Times New Roman;Times;Serif"/>
          <w:b w:val="false"/>
          <w:i w:val="false"/>
          <w:caps w:val="false"/>
          <w:smallCaps w:val="false"/>
          <w:sz w:val="20"/>
        </w:rPr>
        <w:t>were RMB48.0 billion (US$7.1 billion), compared with RMB45.9 billion in the same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operating expenses </w:t>
      </w:r>
      <w:r>
        <w:rPr>
          <w:rFonts w:ascii="Times New Roman;Times;Serif" w:hAnsi="Times New Roman;Times;Serif"/>
          <w:b w:val="false"/>
          <w:i w:val="false"/>
          <w:caps w:val="false"/>
          <w:smallCaps w:val="false"/>
          <w:sz w:val="20"/>
        </w:rPr>
        <w:t>were RMB36.6 billion (US$5.4 billion), an increase of 13% from RMB32.3 billion in the same quarter of 2025. The increase was primarily due to the increase in sales and marketing expenses.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sz w:val="20"/>
              </w:rPr>
              <w:t xml:space="preserve">Sales and marketing expenses </w:t>
            </w:r>
            <w:r>
              <w:rPr>
                <w:sz w:val="20"/>
              </w:rPr>
              <w:t>were RMB</w:t>
            </w:r>
            <w:r>
              <w:rPr/>
              <w:t>29.7 billion (US$4.4 billion), compared with RMB27.2 billion in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General and administrative expenses </w:t>
            </w:r>
            <w:r>
              <w:rPr/>
              <w:t>were RMB2.3 billion (US$345 million), compared with RMB1.5 billion in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sz w:val="20"/>
              </w:rPr>
              <w:t xml:space="preserve">Research and development expenses </w:t>
            </w:r>
            <w:r>
              <w:rPr>
                <w:sz w:val="20"/>
              </w:rPr>
              <w:t>were RMB</w:t>
            </w:r>
            <w:r>
              <w:rPr/>
              <w:t>4.6 billion (US$673 million), compared with RMB3.6 billion in the same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Operating profit </w:t>
      </w:r>
      <w:r>
        <w:rPr>
          <w:rFonts w:ascii="Times New Roman;Times;Serif" w:hAnsi="Times New Roman;Times;Serif"/>
          <w:b w:val="false"/>
          <w:i w:val="false"/>
          <w:caps w:val="false"/>
          <w:smallCaps w:val="false"/>
          <w:sz w:val="20"/>
        </w:rPr>
        <w:t xml:space="preserve">in the quarter was RMB27.8 billion (US$4.1 billion), an increase of 8% from RMB25.8 billion in the same quarter of 2025. </w:t>
      </w:r>
      <w:r>
        <w:rPr>
          <w:rFonts w:ascii="Times New Roman;Times;Serif" w:hAnsi="Times New Roman;Times;Serif"/>
          <w:b/>
          <w:i w:val="false"/>
          <w:caps w:val="false"/>
          <w:smallCaps w:val="false"/>
          <w:sz w:val="20"/>
        </w:rPr>
        <w:t xml:space="preserve">Non-GAAP operating profit </w:t>
      </w:r>
      <w:r>
        <w:rPr>
          <w:rFonts w:ascii="Times New Roman;Times;Serif" w:hAnsi="Times New Roman;Times;Serif"/>
          <w:b w:val="false"/>
          <w:i w:val="false"/>
          <w:caps w:val="false"/>
          <w:smallCaps w:val="false"/>
          <w:sz w:val="20"/>
        </w:rPr>
        <w:t>in the quarter was RMB29.1 billion (US$4.3 billion), an increase of 5% from RMB27.7 billion in the same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 attributable to ordinary shareholders</w:t>
      </w:r>
      <w:r>
        <w:rPr>
          <w:rFonts w:ascii="Times New Roman;Times;Serif" w:hAnsi="Times New Roman;Times;Serif"/>
          <w:b w:val="false"/>
          <w:i w:val="false"/>
          <w:caps w:val="false"/>
          <w:smallCaps w:val="false"/>
          <w:sz w:val="20"/>
        </w:rPr>
        <w:t xml:space="preserve"> in the quarter was RMB27.2 billion (US$4.0 billion), a decrease of 12% from RMB30.8 billion in the same quarter of 2025. </w:t>
      </w:r>
      <w:r>
        <w:rPr>
          <w:rFonts w:ascii="Times New Roman;Times;Serif" w:hAnsi="Times New Roman;Times;Serif"/>
          <w:b/>
          <w:i w:val="false"/>
          <w:caps w:val="false"/>
          <w:smallCaps w:val="false"/>
          <w:sz w:val="20"/>
        </w:rPr>
        <w:t xml:space="preserve">Non-GAAP net income attributable to ordinary shareholders </w:t>
      </w:r>
      <w:r>
        <w:rPr>
          <w:rFonts w:ascii="Times New Roman;Times;Serif" w:hAnsi="Times New Roman;Times;Serif"/>
          <w:b w:val="false"/>
          <w:i w:val="false"/>
          <w:caps w:val="false"/>
          <w:smallCaps w:val="false"/>
          <w:sz w:val="20"/>
        </w:rPr>
        <w:t>in the quarter was RMB28.5 billion (US$4.2 billion), a decrease of 13% from RMB32.7 billion in the same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Basic earnings per ADS </w:t>
      </w:r>
      <w:r>
        <w:rPr>
          <w:rFonts w:ascii="Times New Roman;Times;Serif" w:hAnsi="Times New Roman;Times;Serif"/>
          <w:b w:val="false"/>
          <w:i w:val="false"/>
          <w:caps w:val="false"/>
          <w:smallCaps w:val="false"/>
          <w:sz w:val="20"/>
        </w:rPr>
        <w:t xml:space="preserve">was RMB19.32 (US$2.85) and diluted earnings per ADS was RMB18.45 (US$2.72), compared with basic earnings per ADS of RMB22.01 and diluted earnings per ADS of RMB20.75 in the same quarter of 2025. </w:t>
      </w:r>
      <w:r>
        <w:rPr>
          <w:rFonts w:ascii="Times New Roman;Times;Serif" w:hAnsi="Times New Roman;Times;Serif"/>
          <w:b/>
          <w:i w:val="false"/>
          <w:caps w:val="false"/>
          <w:smallCaps w:val="false"/>
          <w:sz w:val="20"/>
        </w:rPr>
        <w:t xml:space="preserve">Non-GAAP diluted earnings per ADS </w:t>
      </w:r>
      <w:r>
        <w:rPr>
          <w:rFonts w:ascii="Times New Roman;Times;Serif" w:hAnsi="Times New Roman;Times;Serif"/>
          <w:b w:val="false"/>
          <w:i w:val="false"/>
          <w:caps w:val="false"/>
          <w:smallCaps w:val="false"/>
          <w:sz w:val="20"/>
        </w:rPr>
        <w:t>was RMB19.33 (US$2.85), compared with RMB22.07 in the same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cash generated from operating activities </w:t>
      </w:r>
      <w:r>
        <w:rPr>
          <w:rFonts w:ascii="Times New Roman;Times;Serif" w:hAnsi="Times New Roman;Times;Serif"/>
          <w:b w:val="false"/>
          <w:i w:val="false"/>
          <w:caps w:val="false"/>
          <w:smallCaps w:val="false"/>
          <w:sz w:val="20"/>
        </w:rPr>
        <w:t>was RMB25.7 billion (US$3.8 billion), compared with RMB21.6 billion in the same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cash equivalents and short-term investments </w:t>
      </w:r>
      <w:r>
        <w:rPr>
          <w:rFonts w:ascii="Times New Roman;Times;Serif" w:hAnsi="Times New Roman;Times;Serif"/>
          <w:b w:val="false"/>
          <w:i w:val="false"/>
          <w:caps w:val="false"/>
          <w:smallCaps w:val="false"/>
          <w:sz w:val="20"/>
        </w:rPr>
        <w:t>were RMB456.4 billion (US$67.3 billion) as of June 30, 2026, compared with RMB422.3 billion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non-current assets </w:t>
      </w:r>
      <w:r>
        <w:rPr>
          <w:rFonts w:ascii="Times New Roman;Times;Serif" w:hAnsi="Times New Roman;Times;Serif"/>
          <w:b w:val="false"/>
          <w:i w:val="false"/>
          <w:caps w:val="false"/>
          <w:smallCaps w:val="false"/>
          <w:sz w:val="20"/>
        </w:rPr>
        <w:t>were RMB96.4 billion (US$14.2 billion) as of June 30, 2026, compared with RMB104.7 billion as of December 31, 2025, which mainly included time deposits, held-to-maturity debt securities, and available-for-sale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hold an earnings conference call at 7:30 AM ET on August 24, 2026 (12:30 PM IST and 7:30 PM HKT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conference call will be webcast live at </w:t>
      </w:r>
      <w:r>
        <w:rPr>
          <w:rFonts w:ascii="Times New Roman;Times;Serif" w:hAnsi="Times New Roman;Times;Serif"/>
          <w:b w:val="false"/>
          <w:i w:val="false"/>
          <w:caps w:val="false"/>
          <w:smallCaps w:val="false"/>
          <w:sz w:val="20"/>
          <w:u w:val="single"/>
        </w:rPr>
        <w:t>https://investor.pddholdings.com/investor-events</w:t>
      </w:r>
      <w:r>
        <w:rPr>
          <w:rFonts w:ascii="Times New Roman;Times;Serif" w:hAnsi="Times New Roman;Times;Serif"/>
          <w:b w:val="false"/>
          <w:i w:val="false"/>
          <w:caps w:val="false"/>
          <w:smallCaps w:val="false"/>
          <w:sz w:val="20"/>
        </w:rPr>
        <w:t>. The webcast will be available for replay at the same website following the conclusion of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business, the Company considers and uses non-GAAP measures, such as non-GAAP operating profit, non-GAAP net income attributable to ordinary shareholders, non-GAAP diluted earnings per ordinary share, and non-GAAP diluted earnings per ADS, as supplemental measures to review and assess operating performance. The presentation of these non-GAAP financial measures is not intended to be considered in isolation or as a substitute for the financial information prepared and presented in accordance with accounting principles generally accepted in the United States of America (“U.S. GAAP”). The Company’s non-GAAP financial measures exclude the impact of share-based compensation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these non-GAAP financial measures because they are used by management to evaluate operating performance and formulate business plans. The Company believes that the non-GAAP financial measures help identify underlying trends in its business by excluding the impact of share-based compensation expenses, which are non-cash charges. The Company also believes that the non-GAAP financial measures may provide further information about the Company’s results of operations, and enhance the overall understanding of the Company’s past performance and future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non-GAAP financial measures are not defined under U.S. GAAP and are not presented in accordance with U.S. GAAP. The non-GAAP financial measures have limitations as analytical tools. These non-GAAP financial measures do not reflect all items of income and expenses that affect the Company’s operations and do not represent the residual cash flow available for discretionary expenditures. Further,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performance. The Company encourages you to review the Company’s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non-GAAP financial measures, please see the table captioned “Reconciliation of Non-GAAP Measures to the Most Directly Comparable GAAP Measures”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the business outlook and quotations from management in this announcement, as well as the Company’s strategic and operational plans, contain forward-looking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understand buyer needs and provide products and services to attract and retain buyers; its ability to maintain and enhance the recognition and reputation of its brand; its ability to rely on merchants and third-party logistics service providers to provide delivery services to buyers; its ability to maintain and improve quality control policies and measures; its ability to establish and maintain relationships with merchants; trends and competition in the e-commerce markets globally and in the countries or regions where the Company has operations; changes in its revenues and certain cost or expense items; the expected growth of e-commerce markets globally and in the countries or regions where the Company has operations; developments in the relevant governmental policies and regulations relating to the Company’s industry; and general economic and business conditions globally and in the countries or regions where the Company has operations; and assumptions underlying or related to any of the foregoing.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PDD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PDD Holdings is a multinational commerce group that owns and operates a portfolio of businesses. PDD Holdings aims to bring more businesses and people into the digital economy so that local communities and small businesses can benefit from the increased productivity and new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investor@pddholdings.com</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media@pddholdings.com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PDD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millions of Renminbi (“RMB”) and U.S. dollars (“US$”))</w:t>
      </w:r>
    </w:p>
    <w:p>
      <w:pPr>
        <w:pStyle w:val="TextBody"/>
        <w:bidi w:val="0"/>
        <w:spacing w:before="0" w:after="0"/>
        <w:ind w:left="0" w:right="0" w:hanging="0"/>
        <w:jc w:val="center"/>
        <w:rPr>
          <w:caps w:val="false"/>
          <w:smallCaps w:val="false"/>
        </w:rPr>
      </w:pPr>
      <w:r>
        <w:rPr>
          <w:caps w:val="false"/>
          <w:smallCaps w:val="false"/>
        </w:rPr>
        <w:t>   </w:t>
      </w:r>
    </w:p>
    <w:tbl>
      <w:tblPr>
        <w:tblW w:w="7607" w:type="dxa"/>
        <w:jc w:val="left"/>
        <w:tblInd w:w="0" w:type="dxa"/>
        <w:tblLayout w:type="fixed"/>
        <w:tblCellMar>
          <w:top w:w="0" w:type="dxa"/>
          <w:left w:w="0" w:type="dxa"/>
          <w:bottom w:w="0" w:type="dxa"/>
          <w:right w:w="0" w:type="dxa"/>
        </w:tblCellMar>
      </w:tblPr>
      <w:tblGrid>
        <w:gridCol w:w="3575"/>
        <w:gridCol w:w="60"/>
        <w:gridCol w:w="129"/>
        <w:gridCol w:w="1510"/>
        <w:gridCol w:w="60"/>
        <w:gridCol w:w="60"/>
        <w:gridCol w:w="79"/>
        <w:gridCol w:w="930"/>
        <w:gridCol w:w="60"/>
        <w:gridCol w:w="60"/>
        <w:gridCol w:w="92"/>
        <w:gridCol w:w="917"/>
        <w:gridCol w:w="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9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9"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9" w:type="dxa"/>
            <w:gridSpan w:val="2"/>
            <w:tcBorders/>
            <w:vAlign w:val="center"/>
          </w:tcPr>
          <w:p>
            <w:pPr>
              <w:pStyle w:val="TableContents"/>
              <w:bidi w:val="0"/>
              <w:spacing w:before="0" w:after="283"/>
              <w:jc w:val="center"/>
              <w:rPr>
                <w:b/>
                <w:sz w:val="20"/>
              </w:rPr>
            </w:pPr>
            <w:r>
              <w:rPr>
                <w:b/>
                <w:sz w:val="20"/>
              </w:rPr>
              <w:t>RMB</w:t>
              <w:b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9" w:type="dxa"/>
            <w:gridSpan w:val="2"/>
            <w:tcBorders/>
            <w:vAlign w:val="center"/>
          </w:tcPr>
          <w:p>
            <w:pPr>
              <w:pStyle w:val="TableContents"/>
              <w:bidi w:val="0"/>
              <w:spacing w:before="0" w:after="283"/>
              <w:jc w:val="center"/>
              <w:rPr>
                <w:b/>
                <w:sz w:val="20"/>
              </w:rPr>
            </w:pPr>
            <w:r>
              <w:rPr>
                <w:b/>
                <w:sz w:val="20"/>
              </w:rPr>
              <w:t>US$</w:t>
              <w:br/>
              <w:t>(Unaudited)</w:t>
            </w:r>
          </w:p>
        </w:tc>
        <w:tc>
          <w:tcPr>
            <w:tcW w:w="75" w:type="dxa"/>
            <w:tcBorders/>
            <w:vAlign w:val="center"/>
          </w:tcPr>
          <w:p>
            <w:pPr>
              <w:pStyle w:val="TableContents"/>
              <w:bidi w:val="0"/>
              <w:spacing w:before="0" w:after="283"/>
              <w:jc w:val="center"/>
              <w:rPr/>
            </w:pPr>
            <w:r>
              <w:rPr/>
              <w:t> </w:t>
            </w:r>
          </w:p>
        </w:tc>
      </w:tr>
      <w:tr>
        <w:trPr/>
        <w:tc>
          <w:tcPr>
            <w:tcW w:w="3575"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9"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9"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9"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online payment platforms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313,408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327,496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518,981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556,780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82,060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b/>
                <w:sz w:val="20"/>
              </w:rPr>
            </w:pPr>
            <w:r>
              <w:rPr>
                <w:b/>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111,064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106,627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630,045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663,407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97,774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PDD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millions of Renminbi (“RMB”) and U.S. dollars (“US$”))</w:t>
      </w:r>
    </w:p>
    <w:p>
      <w:pPr>
        <w:pStyle w:val="TextBody"/>
        <w:bidi w:val="0"/>
        <w:spacing w:before="0" w:after="0"/>
        <w:ind w:left="0" w:right="0" w:hanging="0"/>
        <w:jc w:val="left"/>
        <w:rPr>
          <w:caps w:val="false"/>
          <w:smallCaps w:val="false"/>
        </w:rPr>
      </w:pPr>
      <w:r>
        <w:rPr>
          <w:caps w:val="false"/>
          <w:smallCaps w:val="false"/>
        </w:rPr>
        <w:t>  </w:t>
      </w:r>
    </w:p>
    <w:tbl>
      <w:tblPr>
        <w:tblW w:w="8447" w:type="dxa"/>
        <w:jc w:val="left"/>
        <w:tblInd w:w="0" w:type="dxa"/>
        <w:tblLayout w:type="fixed"/>
        <w:tblCellMar>
          <w:top w:w="0" w:type="dxa"/>
          <w:left w:w="0" w:type="dxa"/>
          <w:bottom w:w="0" w:type="dxa"/>
          <w:right w:w="0" w:type="dxa"/>
        </w:tblCellMar>
      </w:tblPr>
      <w:tblGrid>
        <w:gridCol w:w="4220"/>
        <w:gridCol w:w="60"/>
        <w:gridCol w:w="129"/>
        <w:gridCol w:w="1510"/>
        <w:gridCol w:w="125"/>
        <w:gridCol w:w="60"/>
        <w:gridCol w:w="79"/>
        <w:gridCol w:w="930"/>
        <w:gridCol w:w="125"/>
        <w:gridCol w:w="60"/>
        <w:gridCol w:w="92"/>
        <w:gridCol w:w="917"/>
        <w:gridCol w:w="140"/>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9" w:type="dxa"/>
            <w:gridSpan w:val="2"/>
            <w:tcBorders/>
            <w:vAlign w:val="center"/>
          </w:tcPr>
          <w:p>
            <w:pPr>
              <w:pStyle w:val="TableContents"/>
              <w:bidi w:val="0"/>
              <w:spacing w:before="0" w:after="283"/>
              <w:jc w:val="center"/>
              <w:rPr>
                <w:b/>
                <w:sz w:val="20"/>
              </w:rPr>
            </w:pPr>
            <w:r>
              <w:rPr>
                <w:b/>
                <w:sz w:val="20"/>
              </w:rPr>
              <w:t>RMB</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9" w:type="dxa"/>
            <w:gridSpan w:val="2"/>
            <w:tcBorders/>
            <w:vAlign w:val="center"/>
          </w:tcPr>
          <w:p>
            <w:pPr>
              <w:pStyle w:val="TableContents"/>
              <w:bidi w:val="0"/>
              <w:spacing w:before="0" w:after="283"/>
              <w:jc w:val="center"/>
              <w:rPr>
                <w:b/>
                <w:sz w:val="20"/>
              </w:rPr>
            </w:pPr>
            <w:r>
              <w:rPr>
                <w:b/>
                <w:sz w:val="20"/>
              </w:rPr>
              <w:t>RMB</w:t>
              <w:br/>
              <w:t>(Unaudited)</w:t>
            </w:r>
          </w:p>
        </w:tc>
        <w:tc>
          <w:tcPr>
            <w:tcW w:w="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9" w:type="dxa"/>
            <w:gridSpan w:val="2"/>
            <w:tcBorders/>
            <w:vAlign w:val="center"/>
          </w:tcPr>
          <w:p>
            <w:pPr>
              <w:pStyle w:val="TableContents"/>
              <w:bidi w:val="0"/>
              <w:spacing w:before="0" w:after="283"/>
              <w:jc w:val="center"/>
              <w:rPr>
                <w:b/>
                <w:sz w:val="20"/>
              </w:rPr>
            </w:pPr>
            <w:r>
              <w:rPr>
                <w:b/>
                <w:sz w:val="20"/>
              </w:rPr>
              <w:t>US$</w:t>
              <w:br/>
              <w:t>(Unaudited)</w:t>
            </w:r>
          </w:p>
        </w:tc>
        <w:tc>
          <w:tcPr>
            <w:tcW w:w="140" w:type="dxa"/>
            <w:tcBorders/>
            <w:vAlign w:val="center"/>
          </w:tcPr>
          <w:p>
            <w:pPr>
              <w:pStyle w:val="TableContents"/>
              <w:bidi w:val="0"/>
              <w:spacing w:before="0" w:after="283"/>
              <w:jc w:val="center"/>
              <w:rPr/>
            </w:pPr>
            <w:r>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1,266</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advances and deferred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3,379</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 to merchants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107,407</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109,924</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16,201</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81,658</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76,883</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11,330</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Merchant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17,708</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18,545</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2,733</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2,455</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213,738</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212,714</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31,350</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2,922</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2,906</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428</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216,660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215,620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31,778</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125,768</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128,599</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18,953</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2,116</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284,163</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323,892</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47,736</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413,385</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447,787</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65,996</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630,045</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663,407</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97,774</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Absolute value is less than RMB1 million or US$1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PDD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INCOME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millions of RMB and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5"/>
        <w:gridCol w:w="60"/>
        <w:gridCol w:w="84"/>
        <w:gridCol w:w="860"/>
        <w:gridCol w:w="95"/>
        <w:gridCol w:w="71"/>
        <w:gridCol w:w="84"/>
        <w:gridCol w:w="860"/>
        <w:gridCol w:w="95"/>
        <w:gridCol w:w="71"/>
        <w:gridCol w:w="98"/>
        <w:gridCol w:w="846"/>
        <w:gridCol w:w="80"/>
        <w:gridCol w:w="60"/>
        <w:gridCol w:w="84"/>
        <w:gridCol w:w="860"/>
        <w:gridCol w:w="89"/>
        <w:gridCol w:w="67"/>
        <w:gridCol w:w="84"/>
        <w:gridCol w:w="860"/>
        <w:gridCol w:w="89"/>
        <w:gridCol w:w="67"/>
        <w:gridCol w:w="88"/>
        <w:gridCol w:w="856"/>
        <w:gridCol w:w="102"/>
      </w:tblGrid>
      <w:tr>
        <w:trPr/>
        <w:tc>
          <w:tcPr>
            <w:tcW w:w="3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6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4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six months ended June 30,</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205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204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89"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89"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10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71"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89"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89"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9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10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5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103,985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112,358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16,560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199,657</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218,587</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32,216</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Costs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(45,859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(48,017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(86,805</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(94,910</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(13,988</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5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35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Sales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(27,210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(29,668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(60,613</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(63,441</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(9,350</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5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(3,191</w:t>
            </w:r>
          </w:p>
        </w:tc>
        <w:tc>
          <w:tcPr>
            <w:tcW w:w="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(3,921</w:t>
            </w:r>
          </w:p>
        </w:tc>
        <w:tc>
          <w:tcPr>
            <w:tcW w:w="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(578</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5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(3,591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(4,567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(7,169</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(8,985</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(1,324</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59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(32,333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(36,577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(5,391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(70,973</w:t>
            </w:r>
          </w:p>
        </w:tc>
        <w:tc>
          <w:tcPr>
            <w:tcW w:w="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(76,347</w:t>
            </w:r>
          </w:p>
        </w:tc>
        <w:tc>
          <w:tcPr>
            <w:tcW w:w="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(11,252</w:t>
            </w:r>
          </w:p>
        </w:tc>
        <w:tc>
          <w:tcPr>
            <w:tcW w:w="1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35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359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Operating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25,793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27,764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4,092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41,879</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47,330</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6,976</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35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and investment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13,505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10,646</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12,873</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1,897</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Foreign exchange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(1,041</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(703</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5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income/(loss),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3,380</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(9,430</w:t>
            </w:r>
          </w:p>
        </w:tc>
        <w:tc>
          <w:tcPr>
            <w:tcW w:w="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(1,390</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5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359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Profit before income tax and share of results of equity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35,536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33,312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4,910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54,864</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50,070</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7,379</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 of results of equity investees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(68</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(134</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5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(9,300</w:t>
            </w:r>
          </w:p>
        </w:tc>
        <w:tc>
          <w:tcPr>
            <w:tcW w:w="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(10,207</w:t>
            </w:r>
          </w:p>
        </w:tc>
        <w:tc>
          <w:tcPr>
            <w:tcW w:w="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(1,504</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59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30,754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27,182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45,496</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39,729</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5,855</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PDD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INCOME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millions of RMB and US$, except for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9"/>
        <w:gridCol w:w="60"/>
        <w:gridCol w:w="97"/>
        <w:gridCol w:w="838"/>
        <w:gridCol w:w="77"/>
        <w:gridCol w:w="77"/>
        <w:gridCol w:w="97"/>
        <w:gridCol w:w="838"/>
        <w:gridCol w:w="77"/>
        <w:gridCol w:w="77"/>
        <w:gridCol w:w="114"/>
        <w:gridCol w:w="821"/>
        <w:gridCol w:w="60"/>
        <w:gridCol w:w="60"/>
        <w:gridCol w:w="97"/>
        <w:gridCol w:w="838"/>
        <w:gridCol w:w="74"/>
        <w:gridCol w:w="74"/>
        <w:gridCol w:w="97"/>
        <w:gridCol w:w="838"/>
        <w:gridCol w:w="74"/>
        <w:gridCol w:w="74"/>
        <w:gridCol w:w="114"/>
        <w:gridCol w:w="821"/>
        <w:gridCol w:w="262"/>
      </w:tblGrid>
      <w:tr>
        <w:trPr/>
        <w:tc>
          <w:tcPr>
            <w:tcW w:w="35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1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three months ended June 30,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0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six months ended June 30,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20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20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2026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49"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30,754</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27,182</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4,006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45,496</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39,729</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5,855</w:t>
            </w:r>
          </w:p>
        </w:tc>
        <w:tc>
          <w:tcPr>
            <w:tcW w:w="262" w:type="dxa"/>
            <w:tcBorders/>
            <w:shd w:fill="CCEEFF" w:val="clear"/>
            <w:vAlign w:val="center"/>
          </w:tcPr>
          <w:p>
            <w:pPr>
              <w:pStyle w:val="TableContents"/>
              <w:bidi w:val="0"/>
              <w:spacing w:before="0" w:after="283"/>
              <w:ind w:left="0" w:right="0" w:hanging="181"/>
              <w:jc w:val="left"/>
              <w:rPr>
                <w:caps w:val="false"/>
                <w:smallCaps w:val="false"/>
              </w:rPr>
            </w:pPr>
            <w:r>
              <w:rPr>
                <w:caps w:val="false"/>
                <w:smallCaps w:val="false"/>
              </w:rPr>
              <w:t> </w:t>
            </w:r>
          </w:p>
        </w:tc>
      </w:tr>
      <w:tr>
        <w:trPr/>
        <w:tc>
          <w:tcPr>
            <w:tcW w:w="3549"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income attributable to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30,754</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27,182</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4,006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45,496</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39,729</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5,855</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9"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r>
      <w:tr>
        <w:trPr/>
        <w:tc>
          <w:tcPr>
            <w:tcW w:w="3549"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Earnings per ordinary share:</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ind w:left="0" w:right="0" w:firstLine="180"/>
              <w:jc w:val="left"/>
              <w:rPr/>
            </w:pPr>
            <w:r>
              <w:rPr/>
              <w:t> </w:t>
            </w:r>
          </w:p>
        </w:tc>
      </w:tr>
      <w:tr>
        <w:trPr/>
        <w:tc>
          <w:tcPr>
            <w:tcW w:w="354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4.83</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8.16</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7.07</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w:t>
            </w:r>
          </w:p>
        </w:tc>
        <w:tc>
          <w:tcPr>
            <w:tcW w:w="262" w:type="dxa"/>
            <w:tcBorders/>
            <w:shd w:fill="CCEE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35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5.19</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4.61</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7.67</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6.73</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0.99</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9"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ind w:left="0" w:right="0" w:hanging="181"/>
              <w:jc w:val="left"/>
              <w:rPr/>
            </w:pPr>
            <w:r>
              <w:rPr/>
              <w:t> </w:t>
            </w:r>
          </w:p>
        </w:tc>
      </w:tr>
      <w:tr>
        <w:trPr/>
        <w:tc>
          <w:tcPr>
            <w:tcW w:w="3549"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Earnings per ADS (4 ordinary shares equals 1 ADS):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ind w:left="0" w:right="0" w:firstLine="180"/>
              <w:jc w:val="left"/>
              <w:rPr/>
            </w:pPr>
            <w:r>
              <w:rPr/>
              <w:t> </w:t>
            </w:r>
          </w:p>
        </w:tc>
      </w:tr>
      <w:tr>
        <w:trPr/>
        <w:tc>
          <w:tcPr>
            <w:tcW w:w="354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22.01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19.32</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32.63</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28.27</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4.17</w:t>
            </w:r>
          </w:p>
        </w:tc>
        <w:tc>
          <w:tcPr>
            <w:tcW w:w="262" w:type="dxa"/>
            <w:tcBorders/>
            <w:shd w:fill="CCEE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35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20.75</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18.45</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30.69</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26.90</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3.96</w:t>
            </w:r>
          </w:p>
        </w:tc>
        <w:tc>
          <w:tcPr>
            <w:tcW w:w="262" w:type="dxa"/>
            <w:tcBorders/>
            <w:shd w:fill="FFFF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3549"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ind w:left="0" w:right="0" w:hanging="181"/>
              <w:jc w:val="left"/>
              <w:rPr/>
            </w:pPr>
            <w:r>
              <w:rPr/>
              <w:t> </w:t>
            </w:r>
          </w:p>
        </w:tc>
      </w:tr>
      <w:tr>
        <w:trPr/>
        <w:tc>
          <w:tcPr>
            <w:tcW w:w="354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Weighted-average number of ordinary shares outstanding (in millions):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ind w:left="0" w:right="0" w:firstLine="180"/>
              <w:jc w:val="left"/>
              <w:rPr/>
            </w:pPr>
            <w:r>
              <w:rPr/>
              <w:t> </w:t>
            </w:r>
          </w:p>
        </w:tc>
      </w:tr>
      <w:tr>
        <w:trPr/>
        <w:tc>
          <w:tcPr>
            <w:tcW w:w="354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5,588</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5,627</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5,578</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5,622</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5,622</w:t>
            </w:r>
          </w:p>
        </w:tc>
        <w:tc>
          <w:tcPr>
            <w:tcW w:w="262" w:type="dxa"/>
            <w:tcBorders/>
            <w:shd w:fill="CCEE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35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5,928</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5,894</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5,930</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5,907</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5,907</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PDD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INFORMATION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millions of RMB and US$)</w:t>
      </w:r>
    </w:p>
    <w:p>
      <w:pPr>
        <w:pStyle w:val="TextBody"/>
        <w:bidi w:val="0"/>
        <w:spacing w:before="0" w:after="0"/>
        <w:ind w:left="0" w:right="0" w:hanging="0"/>
        <w:jc w:val="left"/>
        <w:rPr>
          <w:caps w:val="false"/>
          <w:smallCaps w:val="false"/>
        </w:rPr>
      </w:pPr>
      <w:r>
        <w:rPr>
          <w:caps w:val="false"/>
          <w:smallCaps w:val="false"/>
        </w:rPr>
        <w:t> </w:t>
      </w:r>
    </w:p>
    <w:tbl>
      <w:tblPr>
        <w:tblW w:w="9432" w:type="dxa"/>
        <w:jc w:val="left"/>
        <w:tblInd w:w="0" w:type="dxa"/>
        <w:tblLayout w:type="fixed"/>
        <w:tblCellMar>
          <w:top w:w="0" w:type="dxa"/>
          <w:left w:w="0" w:type="dxa"/>
          <w:bottom w:w="0" w:type="dxa"/>
          <w:right w:w="0" w:type="dxa"/>
        </w:tblCellMar>
      </w:tblPr>
      <w:tblGrid>
        <w:gridCol w:w="2765"/>
        <w:gridCol w:w="60"/>
        <w:gridCol w:w="86"/>
        <w:gridCol w:w="878"/>
        <w:gridCol w:w="81"/>
        <w:gridCol w:w="81"/>
        <w:gridCol w:w="86"/>
        <w:gridCol w:w="878"/>
        <w:gridCol w:w="81"/>
        <w:gridCol w:w="81"/>
        <w:gridCol w:w="100"/>
        <w:gridCol w:w="864"/>
        <w:gridCol w:w="60"/>
        <w:gridCol w:w="60"/>
        <w:gridCol w:w="86"/>
        <w:gridCol w:w="878"/>
        <w:gridCol w:w="76"/>
        <w:gridCol w:w="76"/>
        <w:gridCol w:w="86"/>
        <w:gridCol w:w="878"/>
        <w:gridCol w:w="76"/>
        <w:gridCol w:w="76"/>
        <w:gridCol w:w="100"/>
        <w:gridCol w:w="864"/>
        <w:gridCol w:w="75"/>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1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three months ended June 30,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9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six months ended June 30,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20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Revenues</w:t>
            </w:r>
          </w:p>
        </w:tc>
        <w:tc>
          <w:tcPr>
            <w:tcW w:w="60"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Online marketing services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55,703</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57,637</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104,425</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107,573</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15,855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Transaction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48,282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54,721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8,066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95,232</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111,014</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16,361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103,985</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112,358</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16,560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199,657</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218,587</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32,216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PDD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INFORMATION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millions of RMB and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3"/>
        <w:gridCol w:w="60"/>
        <w:gridCol w:w="117"/>
        <w:gridCol w:w="838"/>
        <w:gridCol w:w="104"/>
        <w:gridCol w:w="104"/>
        <w:gridCol w:w="117"/>
        <w:gridCol w:w="838"/>
        <w:gridCol w:w="104"/>
        <w:gridCol w:w="104"/>
        <w:gridCol w:w="163"/>
        <w:gridCol w:w="792"/>
        <w:gridCol w:w="60"/>
        <w:gridCol w:w="60"/>
        <w:gridCol w:w="117"/>
        <w:gridCol w:w="838"/>
        <w:gridCol w:w="98"/>
        <w:gridCol w:w="98"/>
        <w:gridCol w:w="117"/>
        <w:gridCol w:w="838"/>
        <w:gridCol w:w="98"/>
        <w:gridCol w:w="98"/>
        <w:gridCol w:w="163"/>
        <w:gridCol w:w="792"/>
        <w:gridCol w:w="84"/>
      </w:tblGrid>
      <w:tr>
        <w:trPr/>
        <w:tc>
          <w:tcPr>
            <w:tcW w:w="34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8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three months ended June 30,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5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six months ended June 30,  </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4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21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210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104" w:type="dxa"/>
            <w:tcBorders/>
            <w:vAlign w:val="center"/>
          </w:tcPr>
          <w:p>
            <w:pPr>
              <w:pStyle w:val="TableContents"/>
              <w:bidi w:val="0"/>
              <w:spacing w:before="0" w:after="283"/>
              <w:jc w:val="center"/>
              <w:rPr>
                <w:caps w:val="false"/>
                <w:smallCaps w:val="false"/>
              </w:rPr>
            </w:pPr>
            <w:r>
              <w:rPr>
                <w:caps w:val="false"/>
                <w:smallCaps w:val="false"/>
              </w:rPr>
              <w:t> </w:t>
            </w:r>
          </w:p>
        </w:tc>
        <w:tc>
          <w:tcPr>
            <w:tcW w:w="104" w:type="dxa"/>
            <w:tcBorders/>
            <w:vAlign w:val="center"/>
          </w:tcPr>
          <w:p>
            <w:pPr>
              <w:pStyle w:val="TableContents"/>
              <w:bidi w:val="0"/>
              <w:spacing w:before="0" w:after="283"/>
              <w:jc w:val="center"/>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104" w:type="dxa"/>
            <w:tcBorders/>
            <w:vAlign w:val="center"/>
          </w:tcPr>
          <w:p>
            <w:pPr>
              <w:pStyle w:val="TableContents"/>
              <w:bidi w:val="0"/>
              <w:spacing w:before="0" w:after="283"/>
              <w:jc w:val="center"/>
              <w:rPr>
                <w:caps w:val="false"/>
                <w:smallCaps w:val="false"/>
              </w:rPr>
            </w:pPr>
            <w:r>
              <w:rPr>
                <w:caps w:val="false"/>
                <w:smallCaps w:val="false"/>
              </w:rPr>
              <w:t> </w:t>
            </w:r>
          </w:p>
        </w:tc>
        <w:tc>
          <w:tcPr>
            <w:tcW w:w="104" w:type="dxa"/>
            <w:tcBorders/>
            <w:vAlign w:val="center"/>
          </w:tcPr>
          <w:p>
            <w:pPr>
              <w:pStyle w:val="TableContents"/>
              <w:bidi w:val="0"/>
              <w:spacing w:before="0" w:after="283"/>
              <w:jc w:val="center"/>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4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104" w:type="dxa"/>
            <w:tcBorders/>
            <w:vAlign w:val="center"/>
          </w:tcPr>
          <w:p>
            <w:pPr>
              <w:pStyle w:val="TableContents"/>
              <w:bidi w:val="0"/>
              <w:spacing w:before="0" w:after="283"/>
              <w:jc w:val="center"/>
              <w:rPr>
                <w:caps w:val="false"/>
                <w:smallCaps w:val="false"/>
              </w:rPr>
            </w:pPr>
            <w:r>
              <w:rPr>
                <w:caps w:val="false"/>
                <w:smallCaps w:val="false"/>
              </w:rPr>
              <w:t> </w:t>
            </w:r>
          </w:p>
        </w:tc>
        <w:tc>
          <w:tcPr>
            <w:tcW w:w="104" w:type="dxa"/>
            <w:tcBorders/>
            <w:vAlign w:val="center"/>
          </w:tcPr>
          <w:p>
            <w:pPr>
              <w:pStyle w:val="TableContents"/>
              <w:bidi w:val="0"/>
              <w:spacing w:before="0" w:after="283"/>
              <w:jc w:val="center"/>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104" w:type="dxa"/>
            <w:tcBorders/>
            <w:vAlign w:val="center"/>
          </w:tcPr>
          <w:p>
            <w:pPr>
              <w:pStyle w:val="TableContents"/>
              <w:bidi w:val="0"/>
              <w:spacing w:before="0" w:after="283"/>
              <w:jc w:val="center"/>
              <w:rPr>
                <w:caps w:val="false"/>
                <w:smallCaps w:val="false"/>
              </w:rPr>
            </w:pPr>
            <w:r>
              <w:rPr>
                <w:caps w:val="false"/>
                <w:smallCaps w:val="false"/>
              </w:rPr>
              <w:t> </w:t>
            </w:r>
          </w:p>
        </w:tc>
        <w:tc>
          <w:tcPr>
            <w:tcW w:w="104" w:type="dxa"/>
            <w:tcBorders/>
            <w:vAlign w:val="center"/>
          </w:tcPr>
          <w:p>
            <w:pPr>
              <w:pStyle w:val="TableContents"/>
              <w:bidi w:val="0"/>
              <w:spacing w:before="0" w:after="283"/>
              <w:jc w:val="center"/>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c>
          <w:tcPr>
            <w:tcW w:w="9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403"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Share-based compensation expenses included in:</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340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Costs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0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485</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319</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680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0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865</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645</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1,789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1,352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199</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0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540</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297</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1,096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107</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03"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1,955</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1,307</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4,129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2,831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417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PDD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millions of RMB and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76"/>
        <w:gridCol w:w="60"/>
        <w:gridCol w:w="83"/>
        <w:gridCol w:w="854"/>
        <w:gridCol w:w="126"/>
        <w:gridCol w:w="68"/>
        <w:gridCol w:w="83"/>
        <w:gridCol w:w="854"/>
        <w:gridCol w:w="126"/>
        <w:gridCol w:w="68"/>
        <w:gridCol w:w="97"/>
        <w:gridCol w:w="840"/>
        <w:gridCol w:w="110"/>
        <w:gridCol w:w="60"/>
        <w:gridCol w:w="83"/>
        <w:gridCol w:w="854"/>
        <w:gridCol w:w="121"/>
        <w:gridCol w:w="66"/>
        <w:gridCol w:w="83"/>
        <w:gridCol w:w="854"/>
        <w:gridCol w:w="121"/>
        <w:gridCol w:w="66"/>
        <w:gridCol w:w="97"/>
        <w:gridCol w:w="840"/>
        <w:gridCol w:w="115"/>
      </w:tblGrid>
      <w:tr>
        <w:trPr/>
        <w:tc>
          <w:tcPr>
            <w:tcW w:w="347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three months ended June 30,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8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six months ended June 30,</w:t>
            </w:r>
          </w:p>
        </w:tc>
        <w:tc>
          <w:tcPr>
            <w:tcW w:w="11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20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206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11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11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11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cash generated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21,642</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25,670</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3,783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37,159</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42,115</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6,207</w:t>
            </w:r>
          </w:p>
        </w:tc>
        <w:tc>
          <w:tcPr>
            <w:tcW w:w="11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(27,022</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(19,974</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(2,944</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(33,406</w:t>
            </w:r>
          </w:p>
        </w:tc>
        <w:tc>
          <w:tcPr>
            <w:tcW w:w="1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(17,892</w:t>
            </w:r>
          </w:p>
        </w:tc>
        <w:tc>
          <w:tcPr>
            <w:tcW w:w="1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(2,638</w:t>
            </w:r>
          </w:p>
        </w:tc>
        <w:tc>
          <w:tcPr>
            <w:tcW w:w="11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47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cash generated from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476" w:type="dxa"/>
            <w:tcBorders/>
            <w:shd w:fill="FFFFFF" w:val="clear"/>
            <w:vAlign w:val="center"/>
          </w:tcPr>
          <w:p>
            <w:pPr>
              <w:pStyle w:val="TableContents"/>
              <w:bidi w:val="0"/>
              <w:spacing w:before="0" w:after="283"/>
              <w:jc w:val="left"/>
              <w:rPr>
                <w:sz w:val="18"/>
              </w:rPr>
            </w:pPr>
            <w:r>
              <w:rPr>
                <w:sz w:val="18"/>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1,242</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184</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w:t>
            </w:r>
          </w:p>
        </w:tc>
        <w:tc>
          <w:tcPr>
            <w:tcW w:w="1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(763</w:t>
            </w:r>
          </w:p>
        </w:tc>
        <w:tc>
          <w:tcPr>
            <w:tcW w:w="1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w:t>
            </w:r>
          </w:p>
        </w:tc>
        <w:tc>
          <w:tcPr>
            <w:tcW w:w="11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47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476" w:type="dxa"/>
            <w:tcBorders/>
            <w:shd w:fill="FFFFFF" w:val="clear"/>
            <w:vAlign w:val="center"/>
          </w:tcPr>
          <w:p>
            <w:pPr>
              <w:pStyle w:val="TableContents"/>
              <w:bidi w:val="0"/>
              <w:spacing w:before="0" w:after="283"/>
              <w:jc w:val="left"/>
              <w:rPr>
                <w:sz w:val="18"/>
              </w:rPr>
            </w:pPr>
            <w:r>
              <w:rPr>
                <w:sz w:val="18"/>
              </w:rPr>
              <w:t>(Decrease)/increase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(5,358</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6,938</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1,023</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3,706</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23,460</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3,458</w:t>
            </w:r>
          </w:p>
        </w:tc>
        <w:tc>
          <w:tcPr>
            <w:tcW w:w="11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6" w:type="dxa"/>
            <w:tcBorders/>
            <w:shd w:fill="CCEEFF" w:val="clear"/>
            <w:vAlign w:val="center"/>
          </w:tcPr>
          <w:p>
            <w:pPr>
              <w:pStyle w:val="TableContents"/>
              <w:bidi w:val="0"/>
              <w:spacing w:before="0" w:after="283"/>
              <w:jc w:val="left"/>
              <w:rPr>
                <w:sz w:val="18"/>
              </w:rPr>
            </w:pPr>
            <w:r>
              <w:rPr>
                <w:sz w:val="18"/>
              </w:rPr>
              <w:t>Cash, cash equivalents and restricted cash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135,258</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199,254</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29,366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126,194</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182,732</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26,931</w:t>
            </w:r>
          </w:p>
        </w:tc>
        <w:tc>
          <w:tcPr>
            <w:tcW w:w="11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6" w:type="dxa"/>
            <w:tcBorders/>
            <w:shd w:fill="FFFFFF" w:val="clear"/>
            <w:vAlign w:val="center"/>
          </w:tcPr>
          <w:p>
            <w:pPr>
              <w:pStyle w:val="TableContents"/>
              <w:bidi w:val="0"/>
              <w:spacing w:before="0" w:after="283"/>
              <w:jc w:val="left"/>
              <w:rPr>
                <w:b/>
                <w:sz w:val="18"/>
              </w:rPr>
            </w:pPr>
            <w:r>
              <w:rPr>
                <w:b/>
                <w:sz w:val="18"/>
              </w:rPr>
              <w:t>Cash, cash equivalents and restricted cash at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129,900</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206,192</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30,389</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129,900</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206,192</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30,389</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Absolute value is less than RMB1 million or US$1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PDD HOLDINGS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NON-GAAP MEASURES TO THE MOST DIRECTLY COMPARABLE GAAP MEASURES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millions of RMB and US$, except for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63"/>
        <w:gridCol w:w="60"/>
        <w:gridCol w:w="96"/>
        <w:gridCol w:w="836"/>
        <w:gridCol w:w="74"/>
        <w:gridCol w:w="74"/>
        <w:gridCol w:w="96"/>
        <w:gridCol w:w="836"/>
        <w:gridCol w:w="74"/>
        <w:gridCol w:w="74"/>
        <w:gridCol w:w="114"/>
        <w:gridCol w:w="819"/>
        <w:gridCol w:w="60"/>
        <w:gridCol w:w="60"/>
        <w:gridCol w:w="96"/>
        <w:gridCol w:w="836"/>
        <w:gridCol w:w="72"/>
        <w:gridCol w:w="72"/>
        <w:gridCol w:w="96"/>
        <w:gridCol w:w="836"/>
        <w:gridCol w:w="72"/>
        <w:gridCol w:w="72"/>
        <w:gridCol w:w="114"/>
        <w:gridCol w:w="819"/>
        <w:gridCol w:w="84"/>
      </w:tblGrid>
      <w:tr>
        <w:trPr/>
        <w:tc>
          <w:tcPr>
            <w:tcW w:w="3763"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 the six months ended June 30,</w:t>
            </w:r>
          </w:p>
        </w:tc>
        <w:tc>
          <w:tcPr>
            <w:tcW w:w="8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201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2025</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200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2026</w:t>
            </w:r>
          </w:p>
        </w:tc>
        <w:tc>
          <w:tcPr>
            <w:tcW w:w="8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74" w:type="dxa"/>
            <w:tcBorders/>
            <w:vAlign w:val="center"/>
          </w:tcPr>
          <w:p>
            <w:pPr>
              <w:pStyle w:val="TableContents"/>
              <w:bidi w:val="0"/>
              <w:spacing w:before="0" w:after="283"/>
              <w:jc w:val="center"/>
              <w:rPr>
                <w:caps w:val="false"/>
                <w:smallCaps w:val="false"/>
              </w:rPr>
            </w:pPr>
            <w:r>
              <w:rPr>
                <w:caps w:val="false"/>
                <w:smallCaps w:val="false"/>
              </w:rPr>
              <w:t> </w:t>
            </w:r>
          </w:p>
        </w:tc>
        <w:tc>
          <w:tcPr>
            <w:tcW w:w="74" w:type="dxa"/>
            <w:tcBorders/>
            <w:vAlign w:val="center"/>
          </w:tcPr>
          <w:p>
            <w:pPr>
              <w:pStyle w:val="TableContents"/>
              <w:bidi w:val="0"/>
              <w:spacing w:before="0" w:after="283"/>
              <w:jc w:val="center"/>
              <w:rPr>
                <w:caps w:val="false"/>
                <w:smallCaps w:val="false"/>
              </w:rPr>
            </w:pPr>
            <w:r>
              <w:rPr>
                <w:caps w:val="false"/>
                <w:smallCaps w:val="false"/>
              </w:rPr>
              <w:t> </w:t>
            </w:r>
          </w:p>
        </w:tc>
        <w:tc>
          <w:tcPr>
            <w:tcW w:w="9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74" w:type="dxa"/>
            <w:tcBorders/>
            <w:vAlign w:val="center"/>
          </w:tcPr>
          <w:p>
            <w:pPr>
              <w:pStyle w:val="TableContents"/>
              <w:bidi w:val="0"/>
              <w:spacing w:before="0" w:after="283"/>
              <w:jc w:val="center"/>
              <w:rPr>
                <w:caps w:val="false"/>
                <w:smallCaps w:val="false"/>
              </w:rPr>
            </w:pPr>
            <w:r>
              <w:rPr>
                <w:caps w:val="false"/>
                <w:smallCaps w:val="false"/>
              </w:rPr>
              <w:t> </w:t>
            </w:r>
          </w:p>
        </w:tc>
        <w:tc>
          <w:tcPr>
            <w:tcW w:w="74"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9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RMB</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w:t>
            </w:r>
          </w:p>
        </w:tc>
        <w:tc>
          <w:tcPr>
            <w:tcW w:w="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37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74" w:type="dxa"/>
            <w:tcBorders/>
            <w:vAlign w:val="center"/>
          </w:tcPr>
          <w:p>
            <w:pPr>
              <w:pStyle w:val="TableContents"/>
              <w:bidi w:val="0"/>
              <w:spacing w:before="0" w:after="283"/>
              <w:jc w:val="center"/>
              <w:rPr>
                <w:caps w:val="false"/>
                <w:smallCaps w:val="false"/>
              </w:rPr>
            </w:pPr>
            <w:r>
              <w:rPr>
                <w:caps w:val="false"/>
                <w:smallCaps w:val="false"/>
              </w:rPr>
              <w:t> </w:t>
            </w:r>
          </w:p>
        </w:tc>
        <w:tc>
          <w:tcPr>
            <w:tcW w:w="74" w:type="dxa"/>
            <w:tcBorders/>
            <w:vAlign w:val="center"/>
          </w:tcPr>
          <w:p>
            <w:pPr>
              <w:pStyle w:val="TableContents"/>
              <w:bidi w:val="0"/>
              <w:spacing w:before="0" w:after="283"/>
              <w:jc w:val="center"/>
              <w:rPr>
                <w:caps w:val="false"/>
                <w:smallCaps w:val="false"/>
              </w:rPr>
            </w:pPr>
            <w:r>
              <w:rPr>
                <w:caps w:val="false"/>
                <w:smallCaps w:val="false"/>
              </w:rPr>
              <w:t> </w:t>
            </w:r>
          </w:p>
        </w:tc>
        <w:tc>
          <w:tcPr>
            <w:tcW w:w="9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74" w:type="dxa"/>
            <w:tcBorders/>
            <w:vAlign w:val="center"/>
          </w:tcPr>
          <w:p>
            <w:pPr>
              <w:pStyle w:val="TableContents"/>
              <w:bidi w:val="0"/>
              <w:spacing w:before="0" w:after="283"/>
              <w:jc w:val="center"/>
              <w:rPr>
                <w:caps w:val="false"/>
                <w:smallCaps w:val="false"/>
              </w:rPr>
            </w:pPr>
            <w:r>
              <w:rPr>
                <w:caps w:val="false"/>
                <w:smallCaps w:val="false"/>
              </w:rPr>
              <w:t> </w:t>
            </w:r>
          </w:p>
        </w:tc>
        <w:tc>
          <w:tcPr>
            <w:tcW w:w="74"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9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(Unaudited)</w:t>
            </w:r>
          </w:p>
        </w:tc>
        <w:tc>
          <w:tcPr>
            <w:tcW w:w="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376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25,793</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27,764</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41,879</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47,330</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6,976</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Add: 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1,955</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1,307</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4,129</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2,831</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417</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63"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Non-GAAP operating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27,748</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29,071</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4,285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46,008</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50,161</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7,393</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6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376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 attributable to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30,754</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27,182</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45,496</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39,729</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5,855</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Add: 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1,955</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1,307</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4,129</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2,831</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417</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Non-GAAP net income attributable to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32,709</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28,489</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4,199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49,625</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42,560</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6,272</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6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37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Non-GAAP diluted weighted-average number of ordinary shares outstanding (in millions)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5,928</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5,894</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5,930</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5,907</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5,907</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376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Diluted earnings per ordinary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5.19</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4.61</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7.67</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6.73</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0.99</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Add: Non-GAAP adjustments to earnings per ordinary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0.33</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0.22</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0.70</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0.47</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0.07</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6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Non-GAAP diluted earnings per ordinary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5.52</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4.83</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0.71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8.37</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7.20</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1.06</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Non-GAAP diluted earnings per ADS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22.07</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19.33</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33.47</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28.82</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3109</Words>
  <Characters>17232</Characters>
  <CharactersWithSpaces>21619</CharactersWithSpaces>
  <Paragraphs>2819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