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990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99059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Liu Jun</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PDD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PDD</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3">
            <w:col w:w="2960" w:space="400"/>
            <w:col w:w="1360" w:space="280"/>
            <w:col w:w="5940"/>
          </w:cols>
          <w:pgMar w:left="480" w:top="230" w:right="479" w:bottom="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97"/>
        <w:spacing w:after="0" w:line="275" w:lineRule="auto"/>
        <w:rPr>
          <w:sz w:val="20"/>
          <w:szCs w:val="20"/>
          <w:color w:val="auto"/>
        </w:rPr>
      </w:pPr>
      <w:r>
        <w:rPr>
          <w:rFonts w:ascii="Times New Roman" w:cs="Times New Roman" w:eastAsia="Times New Roman" w:hAnsi="Times New Roman"/>
          <w:sz w:val="20"/>
          <w:szCs w:val="20"/>
          <w:color w:val="0000FF"/>
        </w:rPr>
        <w:t>FIRST FLOOR, 25 ST STEPHEN'S GREEN</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124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DUBLIN 2  L2</w:t>
            </w:r>
          </w:p>
        </w:tc>
        <w:tc>
          <w:tcPr>
            <w:tcW w:w="1240" w:type="dxa"/>
            <w:vAlign w:val="bottom"/>
          </w:tcPr>
          <w:p>
            <w:pPr>
              <w:ind w:left="420"/>
              <w:spacing w:after="0"/>
              <w:rPr>
                <w:sz w:val="20"/>
                <w:szCs w:val="20"/>
                <w:color w:val="auto"/>
              </w:rPr>
            </w:pPr>
            <w:r>
              <w:rPr>
                <w:rFonts w:ascii="Times New Roman" w:cs="Times New Roman" w:eastAsia="Times New Roman" w:hAnsi="Times New Roman"/>
                <w:sz w:val="20"/>
                <w:szCs w:val="20"/>
                <w:color w:val="0000FF"/>
                <w:w w:val="94"/>
              </w:rPr>
              <w:t>D02 XF99</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03"/>
        <w:spacing w:after="0"/>
        <w:rPr>
          <w:sz w:val="20"/>
          <w:szCs w:val="20"/>
          <w:color w:val="auto"/>
        </w:rPr>
      </w:pPr>
      <w:r>
        <w:rPr>
          <w:rFonts w:ascii="Times New Roman" w:cs="Times New Roman" w:eastAsia="Times New Roman" w:hAnsi="Times New Roman"/>
          <w:sz w:val="20"/>
          <w:szCs w:val="20"/>
          <w:color w:val="0000FF"/>
        </w:rPr>
        <w:t>VP of Finance</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ind w:left="34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560" w:type="dxa"/>
            <w:vAlign w:val="bottom"/>
          </w:tcPr>
          <w:p>
            <w:pPr>
              <w:spacing w:after="0"/>
              <w:rPr>
                <w:sz w:val="14"/>
                <w:szCs w:val="14"/>
                <w:color w:val="auto"/>
              </w:rPr>
            </w:pPr>
          </w:p>
        </w:tc>
        <w:tc>
          <w:tcPr>
            <w:tcW w:w="1000" w:type="dxa"/>
            <w:vAlign w:val="bottom"/>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1000" w:type="dxa"/>
            <w:vAlign w:val="bottom"/>
          </w:tcPr>
          <w:p>
            <w:pPr>
              <w:ind w:left="3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00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56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ADSs</w:t>
            </w:r>
            <w:r>
              <w:rPr>
                <w:rFonts w:ascii="Times New Roman" w:cs="Times New Roman" w:eastAsia="Times New Roman" w:hAnsi="Times New Roman"/>
                <w:sz w:val="25"/>
                <w:szCs w:val="25"/>
                <w:color w:val="008000"/>
                <w:vertAlign w:val="superscript"/>
              </w:rPr>
              <w:t>(2)</w:t>
            </w:r>
          </w:p>
        </w:tc>
        <w:tc>
          <w:tcPr>
            <w:tcW w:w="1000" w:type="dxa"/>
            <w:vAlign w:val="bottom"/>
            <w:tcBorders>
              <w:bottom w:val="single" w:sz="8" w:color="2C2C2C"/>
            </w:tcBorders>
          </w:tcPr>
          <w:p>
            <w:pPr>
              <w:jc w:val="center"/>
              <w:ind w:left="172"/>
              <w:spacing w:after="0"/>
              <w:rPr>
                <w:sz w:val="20"/>
                <w:szCs w:val="20"/>
                <w:color w:val="auto"/>
              </w:rPr>
            </w:pPr>
            <w:r>
              <w:rPr>
                <w:rFonts w:ascii="Times New Roman" w:cs="Times New Roman" w:eastAsia="Times New Roman" w:hAnsi="Times New Roman"/>
                <w:sz w:val="20"/>
                <w:szCs w:val="20"/>
                <w:color w:val="0000FF"/>
                <w:w w:val="98"/>
              </w:rPr>
              <w:t>65,625</w:t>
            </w:r>
          </w:p>
        </w:tc>
        <w:tc>
          <w:tcPr>
            <w:tcW w:w="98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00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rPr>
              <w:t>(4)</w:t>
            </w:r>
          </w:p>
        </w:tc>
        <w:tc>
          <w:tcPr>
            <w:tcW w:w="156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ADSs</w:t>
            </w:r>
            <w:r>
              <w:rPr>
                <w:rFonts w:ascii="Times New Roman" w:cs="Times New Roman" w:eastAsia="Times New Roman" w:hAnsi="Times New Roman"/>
                <w:sz w:val="25"/>
                <w:szCs w:val="25"/>
                <w:color w:val="008000"/>
                <w:vertAlign w:val="superscript"/>
              </w:rPr>
              <w:t>(2)</w:t>
            </w:r>
          </w:p>
        </w:tc>
        <w:tc>
          <w:tcPr>
            <w:tcW w:w="1000" w:type="dxa"/>
            <w:vAlign w:val="bottom"/>
            <w:tcBorders>
              <w:bottom w:val="single" w:sz="8" w:color="2C2C2C"/>
            </w:tcBorders>
          </w:tcPr>
          <w:p>
            <w:pPr>
              <w:jc w:val="center"/>
              <w:ind w:left="172"/>
              <w:spacing w:after="0"/>
              <w:rPr>
                <w:sz w:val="20"/>
                <w:szCs w:val="20"/>
                <w:color w:val="auto"/>
              </w:rPr>
            </w:pPr>
            <w:r>
              <w:rPr>
                <w:rFonts w:ascii="Times New Roman" w:cs="Times New Roman" w:eastAsia="Times New Roman" w:hAnsi="Times New Roman"/>
                <w:sz w:val="20"/>
                <w:szCs w:val="20"/>
                <w:color w:val="0000FF"/>
                <w:w w:val="98"/>
              </w:rPr>
              <w:t>12,500</w:t>
            </w:r>
          </w:p>
        </w:tc>
        <w:tc>
          <w:tcPr>
            <w:tcW w:w="98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00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rPr>
              <w:t>(5)</w:t>
            </w:r>
          </w:p>
        </w:tc>
        <w:tc>
          <w:tcPr>
            <w:tcW w:w="156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ADSs</w:t>
            </w:r>
            <w:r>
              <w:rPr>
                <w:rFonts w:ascii="Times New Roman" w:cs="Times New Roman" w:eastAsia="Times New Roman" w:hAnsi="Times New Roman"/>
                <w:sz w:val="25"/>
                <w:szCs w:val="25"/>
                <w:color w:val="008000"/>
                <w:vertAlign w:val="superscript"/>
              </w:rPr>
              <w:t>(2)</w:t>
            </w:r>
          </w:p>
        </w:tc>
        <w:tc>
          <w:tcPr>
            <w:tcW w:w="1000" w:type="dxa"/>
            <w:vAlign w:val="bottom"/>
            <w:tcBorders>
              <w:bottom w:val="single" w:sz="8" w:color="2C2C2C"/>
            </w:tcBorders>
          </w:tcPr>
          <w:p>
            <w:pPr>
              <w:jc w:val="center"/>
              <w:ind w:left="172"/>
              <w:spacing w:after="0"/>
              <w:rPr>
                <w:sz w:val="20"/>
                <w:szCs w:val="20"/>
                <w:color w:val="auto"/>
              </w:rPr>
            </w:pPr>
            <w:r>
              <w:rPr>
                <w:rFonts w:ascii="Times New Roman" w:cs="Times New Roman" w:eastAsia="Times New Roman" w:hAnsi="Times New Roman"/>
                <w:sz w:val="20"/>
                <w:szCs w:val="20"/>
                <w:color w:val="0000FF"/>
                <w:w w:val="98"/>
              </w:rPr>
              <w:t>25,000</w:t>
            </w:r>
          </w:p>
        </w:tc>
        <w:tc>
          <w:tcPr>
            <w:tcW w:w="98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00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(6)</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rPr>
              <w:t>(6)</w:t>
            </w:r>
          </w:p>
        </w:tc>
        <w:tc>
          <w:tcPr>
            <w:tcW w:w="156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ADSs</w:t>
            </w:r>
            <w:r>
              <w:rPr>
                <w:rFonts w:ascii="Times New Roman" w:cs="Times New Roman" w:eastAsia="Times New Roman" w:hAnsi="Times New Roman"/>
                <w:sz w:val="25"/>
                <w:szCs w:val="25"/>
                <w:color w:val="008000"/>
                <w:vertAlign w:val="superscript"/>
              </w:rPr>
              <w:t>(2)</w:t>
            </w:r>
          </w:p>
        </w:tc>
        <w:tc>
          <w:tcPr>
            <w:tcW w:w="1000" w:type="dxa"/>
            <w:vAlign w:val="bottom"/>
            <w:tcBorders>
              <w:bottom w:val="single" w:sz="8" w:color="2C2C2C"/>
            </w:tcBorders>
          </w:tcPr>
          <w:p>
            <w:pPr>
              <w:jc w:val="center"/>
              <w:ind w:left="192"/>
              <w:spacing w:after="0"/>
              <w:rPr>
                <w:sz w:val="20"/>
                <w:szCs w:val="20"/>
                <w:color w:val="auto"/>
              </w:rPr>
            </w:pPr>
            <w:r>
              <w:rPr>
                <w:rFonts w:ascii="Times New Roman" w:cs="Times New Roman" w:eastAsia="Times New Roman" w:hAnsi="Times New Roman"/>
                <w:sz w:val="20"/>
                <w:szCs w:val="20"/>
                <w:color w:val="0000FF"/>
                <w:w w:val="97"/>
              </w:rPr>
              <w:t>9,375</w:t>
            </w:r>
          </w:p>
        </w:tc>
        <w:tc>
          <w:tcPr>
            <w:tcW w:w="98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00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(7)</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rPr>
              <w:t>(7)</w:t>
            </w:r>
          </w:p>
        </w:tc>
        <w:tc>
          <w:tcPr>
            <w:tcW w:w="156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ADSs</w:t>
            </w:r>
            <w:r>
              <w:rPr>
                <w:rFonts w:ascii="Times New Roman" w:cs="Times New Roman" w:eastAsia="Times New Roman" w:hAnsi="Times New Roman"/>
                <w:sz w:val="25"/>
                <w:szCs w:val="25"/>
                <w:color w:val="008000"/>
                <w:vertAlign w:val="superscript"/>
              </w:rPr>
              <w:t>(2)</w:t>
            </w:r>
          </w:p>
        </w:tc>
        <w:tc>
          <w:tcPr>
            <w:tcW w:w="1000" w:type="dxa"/>
            <w:vAlign w:val="bottom"/>
            <w:tcBorders>
              <w:bottom w:val="single" w:sz="8" w:color="2C2C2C"/>
            </w:tcBorders>
          </w:tcPr>
          <w:p>
            <w:pPr>
              <w:jc w:val="center"/>
              <w:ind w:left="172"/>
              <w:spacing w:after="0"/>
              <w:rPr>
                <w:sz w:val="20"/>
                <w:szCs w:val="20"/>
                <w:color w:val="auto"/>
              </w:rPr>
            </w:pPr>
            <w:r>
              <w:rPr>
                <w:rFonts w:ascii="Times New Roman" w:cs="Times New Roman" w:eastAsia="Times New Roman" w:hAnsi="Times New Roman"/>
                <w:sz w:val="20"/>
                <w:szCs w:val="20"/>
                <w:color w:val="0000FF"/>
                <w:w w:val="98"/>
              </w:rPr>
              <w:t>20,000</w:t>
            </w:r>
          </w:p>
        </w:tc>
        <w:tc>
          <w:tcPr>
            <w:tcW w:w="98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00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(8)</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rPr>
              <w:t>(8)</w:t>
            </w:r>
          </w:p>
        </w:tc>
        <w:tc>
          <w:tcPr>
            <w:tcW w:w="156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ADSs</w:t>
            </w:r>
            <w:r>
              <w:rPr>
                <w:rFonts w:ascii="Times New Roman" w:cs="Times New Roman" w:eastAsia="Times New Roman" w:hAnsi="Times New Roman"/>
                <w:sz w:val="25"/>
                <w:szCs w:val="25"/>
                <w:color w:val="008000"/>
                <w:vertAlign w:val="superscript"/>
              </w:rPr>
              <w:t>(2)</w:t>
            </w:r>
          </w:p>
        </w:tc>
        <w:tc>
          <w:tcPr>
            <w:tcW w:w="1000" w:type="dxa"/>
            <w:vAlign w:val="bottom"/>
            <w:tcBorders>
              <w:bottom w:val="single" w:sz="8" w:color="2C2C2C"/>
            </w:tcBorders>
          </w:tcPr>
          <w:p>
            <w:pPr>
              <w:jc w:val="center"/>
              <w:ind w:left="172"/>
              <w:spacing w:after="0"/>
              <w:rPr>
                <w:sz w:val="20"/>
                <w:szCs w:val="20"/>
                <w:color w:val="auto"/>
              </w:rPr>
            </w:pPr>
            <w:r>
              <w:rPr>
                <w:rFonts w:ascii="Times New Roman" w:cs="Times New Roman" w:eastAsia="Times New Roman" w:hAnsi="Times New Roman"/>
                <w:sz w:val="20"/>
                <w:szCs w:val="20"/>
                <w:color w:val="0000FF"/>
                <w:w w:val="98"/>
              </w:rPr>
              <w:t>25,000</w:t>
            </w:r>
          </w:p>
        </w:tc>
        <w:tc>
          <w:tcPr>
            <w:tcW w:w="98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00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(9)</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rPr>
              <w:t>(9)</w:t>
            </w:r>
          </w:p>
        </w:tc>
        <w:tc>
          <w:tcPr>
            <w:tcW w:w="156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ADSs</w:t>
            </w:r>
            <w:r>
              <w:rPr>
                <w:rFonts w:ascii="Times New Roman" w:cs="Times New Roman" w:eastAsia="Times New Roman" w:hAnsi="Times New Roman"/>
                <w:sz w:val="25"/>
                <w:szCs w:val="25"/>
                <w:color w:val="008000"/>
                <w:vertAlign w:val="superscript"/>
              </w:rPr>
              <w:t>(2)</w:t>
            </w:r>
          </w:p>
        </w:tc>
        <w:tc>
          <w:tcPr>
            <w:tcW w:w="1000" w:type="dxa"/>
            <w:vAlign w:val="bottom"/>
            <w:tcBorders>
              <w:bottom w:val="single" w:sz="8" w:color="2C2C2C"/>
            </w:tcBorders>
          </w:tcPr>
          <w:p>
            <w:pPr>
              <w:jc w:val="center"/>
              <w:ind w:left="172"/>
              <w:spacing w:after="0"/>
              <w:rPr>
                <w:sz w:val="20"/>
                <w:szCs w:val="20"/>
                <w:color w:val="auto"/>
              </w:rPr>
            </w:pPr>
            <w:r>
              <w:rPr>
                <w:rFonts w:ascii="Times New Roman" w:cs="Times New Roman" w:eastAsia="Times New Roman" w:hAnsi="Times New Roman"/>
                <w:sz w:val="20"/>
                <w:szCs w:val="20"/>
                <w:color w:val="0000FF"/>
                <w:w w:val="98"/>
              </w:rPr>
              <w:t>10,000</w:t>
            </w:r>
          </w:p>
        </w:tc>
        <w:tc>
          <w:tcPr>
            <w:tcW w:w="980" w:type="dxa"/>
            <w:vAlign w:val="bottom"/>
            <w:tcBorders>
              <w:bottom w:val="single" w:sz="8" w:color="2C2C2C"/>
            </w:tcBorders>
          </w:tcPr>
          <w:p>
            <w:pPr>
              <w:jc w:val="right"/>
              <w:ind w:right="352"/>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1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are all exercisable as of the filing date. The expiration dates for 12,500 options, 25,000 options, 25,000 options and 3,125 are August 31, 2038, February 28, 2039, March 31, 2040 and September 30, 2041, respectively.</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American depositary share ("ADS") of the Issuer represents four (4) Class A ordinary shares.</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option represents the right to receive, at settlement after exercise, one American Depositary Share ("ADS") of the Issuer, and has an exercise price of US$0.026.</w:t>
      </w:r>
    </w:p>
    <w:p>
      <w:pPr>
        <w:spacing w:after="0" w:line="52" w:lineRule="exact"/>
        <w:rPr>
          <w:rFonts w:ascii="Times New Roman" w:cs="Times New Roman" w:eastAsia="Times New Roman" w:hAnsi="Times New Roman"/>
          <w:sz w:val="15"/>
          <w:szCs w:val="15"/>
          <w:color w:val="008000"/>
        </w:rPr>
      </w:pPr>
    </w:p>
    <w:p>
      <w:pPr>
        <w:ind w:left="40" w:right="3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will become exercisable on July 5, 2026. The expiration date for these options is February 28, 2039. The date exercisable has taken into account the three-year lock-up period included as a term in the grant of options.</w:t>
      </w:r>
    </w:p>
    <w:p>
      <w:pPr>
        <w:spacing w:after="0" w:line="17" w:lineRule="exact"/>
        <w:rPr>
          <w:rFonts w:ascii="Times New Roman" w:cs="Times New Roman" w:eastAsia="Times New Roman" w:hAnsi="Times New Roman"/>
          <w:sz w:val="15"/>
          <w:szCs w:val="15"/>
          <w:color w:val="008000"/>
        </w:rPr>
      </w:pPr>
    </w:p>
    <w:p>
      <w:pPr>
        <w:ind w:left="40" w:right="1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Half of these options will become exercisable on each of the following dates: April 1, 2026 and April 1, 2027. The expiration date for these options is March 31, 2040. The date exercisable has taken into account the three-year lock-up period included as a term in the grant of options.</w:t>
      </w:r>
    </w:p>
    <w:p>
      <w:pPr>
        <w:spacing w:after="0" w:line="17" w:lineRule="exact"/>
        <w:rPr>
          <w:rFonts w:ascii="Times New Roman" w:cs="Times New Roman" w:eastAsia="Times New Roman" w:hAnsi="Times New Roman"/>
          <w:sz w:val="15"/>
          <w:szCs w:val="15"/>
          <w:color w:val="008000"/>
        </w:rPr>
      </w:pPr>
    </w:p>
    <w:p>
      <w:pPr>
        <w:ind w:left="40" w:right="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One-third of these options will become exercisable on each of the following dates: October 1, 2026, October 1, 2027 and October 1, 2028. The expiration date for these options is September 30, 2041. The date exercisable has taken into account the three-year lock-up period included as a term in the grant of options.</w:t>
      </w:r>
    </w:p>
    <w:p>
      <w:pPr>
        <w:spacing w:after="0" w:line="17" w:lineRule="exact"/>
        <w:rPr>
          <w:rFonts w:ascii="Times New Roman" w:cs="Times New Roman" w:eastAsia="Times New Roman" w:hAnsi="Times New Roman"/>
          <w:sz w:val="15"/>
          <w:szCs w:val="15"/>
          <w:color w:val="008000"/>
        </w:rPr>
      </w:pPr>
    </w:p>
    <w:p>
      <w:pPr>
        <w:ind w:left="40" w:right="2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One-fourth of these options will become exercisable on each of the following dates: April 1, 2026, April 1, 2027, April 1, 2028 and April 1, 2029. The expiration date for these options is March 31, 2042. The date exercisable has taken into account the three-year lock-up period included as a term in the grant of options.</w:t>
      </w:r>
    </w:p>
    <w:p>
      <w:pPr>
        <w:spacing w:after="0" w:line="17" w:lineRule="exact"/>
        <w:rPr>
          <w:rFonts w:ascii="Times New Roman" w:cs="Times New Roman" w:eastAsia="Times New Roman" w:hAnsi="Times New Roman"/>
          <w:sz w:val="15"/>
          <w:szCs w:val="15"/>
          <w:color w:val="008000"/>
        </w:rPr>
      </w:pPr>
    </w:p>
    <w:p>
      <w:pPr>
        <w:ind w:left="40" w:right="3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One-fourth of these options will become exercisable on each of the following dates: May 1, 2027, May 1, 2028, May 1, 2029 and May 1, 2030. The expiration date for these options is April 30, 2043. The date exercisable has taken into account the three-year lock-up period included as a term in the grant of options.</w:t>
      </w:r>
    </w:p>
    <w:p>
      <w:pPr>
        <w:spacing w:after="0" w:line="17" w:lineRule="exact"/>
        <w:rPr>
          <w:rFonts w:ascii="Times New Roman" w:cs="Times New Roman" w:eastAsia="Times New Roman" w:hAnsi="Times New Roman"/>
          <w:sz w:val="15"/>
          <w:szCs w:val="15"/>
          <w:color w:val="008000"/>
        </w:rPr>
      </w:pPr>
    </w:p>
    <w:p>
      <w:pPr>
        <w:ind w:left="40" w:right="3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One-fourth of these options will become exercisable on each of the following dates: May 1, 2028, May 1, 2029, May 1, 2030 and May 1, 2031. The expiration date for these options is April 30, 2044. The date exercisable has taken into account the three-year lock-up period included as a term in the grant of options.</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4"/>
              </w:rPr>
              <w:t>/s/ Liu Jun</w:t>
            </w:r>
          </w:p>
        </w:tc>
        <w:tc>
          <w:tcPr>
            <w:tcW w:w="136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2"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81607" TargetMode="External"/><Relationship Id="rId11" Type="http://schemas.openxmlformats.org/officeDocument/2006/relationships/hyperlink" Target="http://www.sec.gov/cgi-bin/browse-edgar?action=getcompany&amp;CIK=00017378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2026-03-18T20:02:32Z</dcterms:created>
  <dcterms:modified xsi:type="dcterms:W3CDTF">2026-03-18T20:02:32Z</dcterms:modified>
</cp:coreProperties>
</file>